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4"/>
        <w:rPr>
          <w:rFonts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  <w:shd w:val="clear" w:fill="FFFFFF"/>
        </w:rPr>
        <w:t>面试形式及要求</w:t>
      </w:r>
    </w:p>
    <w:tbl>
      <w:tblPr>
        <w:tblW w:w="8788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156"/>
        <w:gridCol w:w="3574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面试形式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上课内容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分值说明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高中教师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面对评委上一节课（省去学生活动时间）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高中一年级下册相应科目教材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职校教师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1B1B1B"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汽车维修技术教材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初中文化科教师</w:t>
            </w: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1B1B1B"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义务教育九年级下册相应科目教材内容（九年级没有的科目改为八年级）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义务教育学校艺体科教师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面对评委上一节课（省去学生活动时间）和专业水平测试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义务教育七年级下册相应科目教材；专业测试内容：音乐科为声乐、体育科为篮球和足球、美术科为绘画和书法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上课和专业水平测试各占面试成绩的50%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小学、特殊教育学校教师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面对评委上一节课（省去学生活动时间）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义务教育六年级下册教材内容（语文、数学、英语三科任选一科，网上报名时确定好科目）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面对评委上一节课（省去学生活动时间）和才艺展示（内容自选）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幼儿园大班教材内容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1"/>
                <w:szCs w:val="21"/>
                <w:bdr w:val="none" w:color="auto" w:sz="0" w:space="0"/>
              </w:rPr>
              <w:t>上课占70%，才艺展示占30%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876C6"/>
    <w:rsid w:val="1B787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2018-05-04T14:35:00Z</dcterms:created>
  <dc:creator>ASUS</dc:creator>
  <cp:lastModifiedBy>ASUS</cp:lastModifiedBy>
  <dcterms:modified xsi:type="dcterms:W3CDTF">2018-05-04T14:35:44Z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