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97" w:rsidRDefault="001C4597" w:rsidP="001C4597">
      <w:pPr>
        <w:snapToGrid w:val="0"/>
        <w:spacing w:line="54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 w:rsidRPr="001A3AF4">
        <w:rPr>
          <w:rFonts w:ascii="仿宋_GB2312" w:eastAsia="仿宋_GB2312" w:hAnsi="宋体" w:hint="eastAsia"/>
          <w:sz w:val="32"/>
          <w:szCs w:val="32"/>
        </w:rPr>
        <w:t>附件</w:t>
      </w:r>
      <w:r>
        <w:rPr>
          <w:rFonts w:ascii="仿宋_GB2312" w:eastAsia="仿宋_GB2312" w:hAnsi="宋体" w:hint="eastAsia"/>
          <w:sz w:val="32"/>
          <w:szCs w:val="32"/>
        </w:rPr>
        <w:t>4</w:t>
      </w:r>
      <w:r w:rsidRPr="001A3AF4">
        <w:rPr>
          <w:rFonts w:ascii="仿宋_GB2312" w:eastAsia="仿宋_GB2312" w:hAnsi="宋体" w:hint="eastAsia"/>
          <w:sz w:val="32"/>
          <w:szCs w:val="32"/>
        </w:rPr>
        <w:t>：</w:t>
      </w:r>
    </w:p>
    <w:p w:rsidR="001C4597" w:rsidRPr="00B905DA" w:rsidRDefault="001C4597" w:rsidP="001C4597">
      <w:pPr>
        <w:widowControl/>
        <w:adjustRightInd w:val="0"/>
        <w:snapToGrid w:val="0"/>
        <w:spacing w:line="300" w:lineRule="auto"/>
        <w:jc w:val="center"/>
        <w:outlineLvl w:val="0"/>
        <w:rPr>
          <w:rFonts w:ascii="宋体" w:hAnsi="宋体" w:cs="宋体"/>
          <w:b/>
          <w:bCs/>
          <w:color w:val="2D66A5"/>
          <w:kern w:val="36"/>
          <w:sz w:val="44"/>
          <w:szCs w:val="44"/>
        </w:rPr>
      </w:pPr>
      <w:r w:rsidRPr="00B905DA">
        <w:rPr>
          <w:rFonts w:ascii="宋体" w:hAnsi="宋体" w:cs="宋体"/>
          <w:b/>
          <w:bCs/>
          <w:color w:val="2D66A5"/>
          <w:kern w:val="36"/>
          <w:sz w:val="44"/>
          <w:szCs w:val="44"/>
        </w:rPr>
        <w:t>粤省事“粤康码”操作指引</w:t>
      </w:r>
    </w:p>
    <w:p w:rsidR="001C4597" w:rsidRPr="00B905DA" w:rsidRDefault="001C4597" w:rsidP="001C4597">
      <w:pPr>
        <w:widowControl/>
        <w:adjustRightInd w:val="0"/>
        <w:snapToGrid w:val="0"/>
        <w:spacing w:line="300" w:lineRule="auto"/>
        <w:jc w:val="center"/>
        <w:rPr>
          <w:rFonts w:ascii="宋体" w:hAnsi="宋体" w:cs="宋体"/>
          <w:color w:val="8E8E8E"/>
          <w:kern w:val="0"/>
          <w:szCs w:val="21"/>
        </w:rPr>
      </w:pPr>
    </w:p>
    <w:p w:rsidR="001C4597" w:rsidRPr="00B905DA" w:rsidRDefault="001C4597" w:rsidP="001C4597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 w:rsidRPr="00B905DA">
        <w:rPr>
          <w:rFonts w:ascii="微软雅黑" w:eastAsia="微软雅黑" w:hAnsi="微软雅黑" w:cs="宋体" w:hint="eastAsia"/>
          <w:b/>
          <w:bCs/>
          <w:color w:val="424242"/>
          <w:kern w:val="0"/>
          <w:sz w:val="27"/>
        </w:rPr>
        <w:t>（一）粤省事“粤康码”访问入口</w:t>
      </w:r>
    </w:p>
    <w:p w:rsidR="001C4597" w:rsidRPr="00B905DA" w:rsidRDefault="001C4597" w:rsidP="001C4597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1．使用微信扫描以下小程序码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2066925" cy="2085975"/>
            <wp:effectExtent l="19050" t="0" r="9525" b="0"/>
            <wp:docPr id="2" name="图片 2" descr="粤康码使用指引（第五版）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粤康码使用指引（第五版）206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adjustRightInd w:val="0"/>
        <w:snapToGrid w:val="0"/>
        <w:spacing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图2-1 粤省事“粤康码”小程序码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2．在微信搜索“粤省事”小程序，打开该小程序后点击“粤康码”，或在“疫情防控服务专区”页面访问“我的粤康码”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1781175" cy="3276600"/>
            <wp:effectExtent l="19050" t="0" r="9525" b="0"/>
            <wp:docPr id="3" name="图片 3" descr="粤康码使用指引（第五版）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粤康码使用指引（第五版）214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图2-2 粤省事小程序首页“粤康码”入口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1466850" cy="3248025"/>
            <wp:effectExtent l="19050" t="0" r="0" b="0"/>
            <wp:docPr id="4" name="图片 4" descr="粤康码使用指引（第五版）2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粤康码使用指引（第五版）21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图2-3 “疫情防控服务专区”粤省事“粤康码”入口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 w:rsidRPr="00B905DA">
        <w:rPr>
          <w:rFonts w:ascii="微软雅黑" w:eastAsia="微软雅黑" w:hAnsi="微软雅黑" w:cs="宋体" w:hint="eastAsia"/>
          <w:b/>
          <w:bCs/>
          <w:color w:val="424242"/>
          <w:kern w:val="0"/>
          <w:sz w:val="27"/>
        </w:rPr>
        <w:t>（二）登录查看粤省事“粤康码”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扫码或点击“粤康码”入口后，按以下步骤完成登录操作，登录成功后即可查看并出示“粤康码”。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1．持内地居民身份证人员登录查看“粤康码”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（1）进入选择“登录方式”，选择“人脸识别登录”或“微信支付密码登录”方式，进入下一步。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（2）若采用人脸识别登录，建议在刷脸过程中临时取下口罩，便于识别。如果微信支付密码无法通过认证，请确认是否为本人登录及绑定本人的银行卡（微信支付密码认证不会产生任何扣费行为）。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5200650" cy="7305675"/>
            <wp:effectExtent l="19050" t="0" r="0" b="0"/>
            <wp:docPr id="5" name="图片 5" descr="http://www.lianjiang.gov.cn/zjljxzfw/img/0/106/106905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anjiang.gov.cn/zjljxzfw/img/0/106/106905/142229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图2-4 身份证人脸识别登录步骤指引界面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4495800" cy="8124825"/>
            <wp:effectExtent l="19050" t="0" r="0" b="0"/>
            <wp:docPr id="6" name="图片 6" descr="http://www.lianjiang.gov.cn/zjljxzfw/img/0/106/106907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anjiang.gov.cn/zjljxzfw/img/0/106/106907/142229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图2-5 身份证微信支付登录步骤指引界面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2．持港澳居民来往内地通行证人员查看“粤康码”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（1）进入选择“登录方式”，选择“使用人脸识别登录”方式，进入下一步。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4953000" cy="3971925"/>
            <wp:effectExtent l="19050" t="0" r="0" b="0"/>
            <wp:docPr id="7" name="图片 7" descr="http://www.lianjiang.gov.cn/zjljxzfw/img/0/106/106904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anjiang.gov.cn/zjljxzfw/img/0/106/106904/142229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图2-6 选择登录方式界面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（2）确认证件类型，选定“港澳居民来往内地通行证”，填入个人信息，点击同意用户协议，进入“网证CTID”认证个人信息后可选择“反光识别”或“读数识别”刷脸登录。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4076700" cy="6381750"/>
            <wp:effectExtent l="19050" t="0" r="0" b="0"/>
            <wp:docPr id="8" name="图片 8" descr="http://www.lianjiang.gov.cn/zjljxzfw/img/0/106/106909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anjiang.gov.cn/zjljxzfw/img/0/106/106909/142229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图2-7 刷脸登录流程界面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 w:rsidRPr="00B905DA">
        <w:rPr>
          <w:rFonts w:ascii="微软雅黑" w:eastAsia="微软雅黑" w:hAnsi="微软雅黑" w:cs="宋体" w:hint="eastAsia"/>
          <w:b/>
          <w:bCs/>
          <w:color w:val="424242"/>
          <w:kern w:val="0"/>
          <w:sz w:val="27"/>
        </w:rPr>
        <w:t>（三）粤省事“粤康码”功能及使用说明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1．查看“粤康码”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lastRenderedPageBreak/>
        <w:drawing>
          <wp:inline distT="0" distB="0" distL="0" distR="0">
            <wp:extent cx="5429250" cy="3771900"/>
            <wp:effectExtent l="19050" t="0" r="0" b="0"/>
            <wp:docPr id="13" name="图片 13" descr="http://www.lianjiang.gov.cn/zjljxzfw/img/0/106/106914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ianjiang.gov.cn/zjljxzfw/img/0/106/106914/142229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图2-8 粤省事“粤康码”界面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目前“粤康码”有红码、黄码、绿码三种标识：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红码：确诊病例和无症状感染者、疑似病例、密切接触者和次密切接触者（密切接触者的密切接触者）、集中隔离人员、居家隔离人员、外省健康码红码人员等人群，其“粤康码”为红色，可进一步查看标识为红码的原因及解除红码的指引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黄码：入境人员（含从我省和外省入境）集中隔离或居家隔离满14天未满21天的人员、外省健康码黄码人员等人群，其“粤康码”为黄色，可进一步查看标识为黄码的原因及解除黄码的指引。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绿码：非防疫重点人群。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2．老年人、未成年人等使用“粤康码”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“粤康码”提供管理家庭成员、代为出示粤康码、保存粤康码以便打印出示等功能，方便老年人、未成年人及智能手机操作困难人员使用“粤康码”。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5295900" cy="2705100"/>
            <wp:effectExtent l="19050" t="0" r="0" b="0"/>
            <wp:docPr id="14" name="图片 14" descr="http://www.lianjiang.gov.cn/zjljxzfw/img/0/106/106910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lianjiang.gov.cn/zjljxzfw/img/0/106/106910/142229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图2-9 同行人代家庭成员出示粤康码界面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4410075" cy="4819650"/>
            <wp:effectExtent l="19050" t="0" r="9525" b="0"/>
            <wp:docPr id="9" name="图片 9" descr="http://www.lianjiang.gov.cn/zjljxzfw/img/0/106/106913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ianjiang.gov.cn/zjljxzfw/img/0/106/106913/1422295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adjustRightInd w:val="0"/>
        <w:snapToGrid w:val="0"/>
        <w:spacing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图2-10 粤康码家庭成员管理界面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lastRenderedPageBreak/>
        <w:drawing>
          <wp:inline distT="0" distB="0" distL="0" distR="0">
            <wp:extent cx="5143500" cy="3562350"/>
            <wp:effectExtent l="19050" t="0" r="0" b="0"/>
            <wp:docPr id="10" name="图片 10" descr="http://www.lianjiang.gov.cn/zjljxzfw/img/0/106/106912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anjiang.gov.cn/zjljxzfw/img/0/106/106912/142229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图2-11离线保存粤康码界面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使用步骤如下。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1）代家庭成员生成粤康码。已登录粤省事“粤康码”的监护人通过粤康码“添加家庭成员”功能，为同行老年人、未成年人等输入成员身份，以及姓名、证件类型、证件号码，经身份认证（刷脸实人认证或证件一致性认证）通过后生成其“粤康码”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（2）同行人代为出示粤康码。如需代为出示“粤康码”，请点击监护人姓名右侧三角形下拉箭头，切换至对应人员姓名。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3）离线保存粤康码。点击“保存到相册”或“预览图片（长按图片发送到微信）”，将家庭成员“粤康码”保存至手机相册（离线保存的粤康码为黑色），后续可打印在纸张上（下称实体粤康码）以便于老年人、未成年人等不便使用智能手机的人员出行时随身携带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（4）使用实体粤康码扫码通行。在需扫码通行的公共场所，场所检测员扫描老年人、未成年人等人员出示的“实体粤康码”并录入体温测量结果，也可以点击“查看健康信息”进一步了解用户的健康信息情况。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3．查看本人健康信息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点击“我的粤康码信息”，可查看本人核酸检测、血清特异性IgG抗体检测记录、持有健康证明情况、健康申报记录、亮码记录、新冠疫苗接种记录、入境情况记录、解除医学观察电子告知书、体温检测记录、豁免人员核酸检测结果证明、入粤登记历史记录等健康信息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核酸检测记录查询：在“我的粤康码信息—核酸检测记录—查看更多”即可查看本人核酸检测记录。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入境情况记录：在“我的粤康码信息—入境情况记录”即可展现用户入境情况记录，包括入境国家、证件号码、入境日期、入境口岸和交通工具，方便用户在线查询和出示检查。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4．行程卡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点击粤康码下方“行程卡”，填写手机号以及验证码等信息，即可获得“通信大数据行程卡”，可查看用户于前14天内到达或途经的城市。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5．健康申报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点击粤康码“健康申报”页面即可进入自主申报页面，目前支持企业单位员工健康申报、组织机构成员健康申报、学生/教职工个人健康申报/个人自查申报功能，健康申报数据可在“我的粤康码信息”内“健康申报记录”查看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5429250" cy="2790825"/>
            <wp:effectExtent l="19050" t="0" r="0" b="0"/>
            <wp:docPr id="11" name="图片 11" descr="http://www.lianjiang.gov.cn/zjljxzfw/img/0/106/106916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ianjiang.gov.cn/zjljxzfw/img/0/106/106916/142229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>图2-12 健康申报界面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6．通关凭证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lastRenderedPageBreak/>
        <w:t xml:space="preserve">　　需经粤澳口岸出入境的人员，应提前通过“粤康码”的“粤港澳通关”功能，根据出入境方向选择“广东→澳门”或“澳门→广东”，按提示申报健康情况、核对个人信息后，获取粤康码通关凭证，凭粤康码通关凭证通关。　　</w:t>
      </w: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drawing>
          <wp:inline distT="0" distB="0" distL="0" distR="0">
            <wp:extent cx="5638800" cy="4200525"/>
            <wp:effectExtent l="19050" t="0" r="0" b="0"/>
            <wp:docPr id="12" name="图片 12" descr="http://www.lianjiang.gov.cn/zjljxzfw/img/0/106/106915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ianjiang.gov.cn/zjljxzfw/img/0/106/106915/142229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图2-13 粤康码通关凭证（粤澳通关）</w:t>
      </w:r>
    </w:p>
    <w:p w:rsidR="001C4597" w:rsidRPr="00B905DA" w:rsidRDefault="001C4597" w:rsidP="001C4597">
      <w:pPr>
        <w:widowControl/>
        <w:shd w:val="clear" w:color="auto" w:fill="FFFFFF"/>
        <w:wordWrap w:val="0"/>
        <w:adjustRightInd w:val="0"/>
        <w:snapToGrid w:val="0"/>
        <w:spacing w:line="360" w:lineRule="atLeast"/>
        <w:jc w:val="left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符合“回港易”计划的香港居民应在抵达指定口岸前，应提前通过“粤康码”的“粤港澳通关”功能，选择“广东→香港”，按提示完成健康申报后，获取粤康码通关凭证，选择“入香港健康申报表”，转码生成香港健康申报表绿码通关。</w:t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center"/>
        <w:rPr>
          <w:rFonts w:ascii="微软雅黑" w:eastAsia="微软雅黑" w:hAnsi="微软雅黑" w:cs="宋体"/>
          <w:color w:val="424242"/>
          <w:kern w:val="0"/>
          <w:sz w:val="27"/>
          <w:szCs w:val="27"/>
        </w:rPr>
      </w:pPr>
      <w:r>
        <w:rPr>
          <w:rFonts w:ascii="微软雅黑" w:eastAsia="微软雅黑" w:hAnsi="微软雅黑" w:cs="宋体"/>
          <w:noProof/>
          <w:color w:val="424242"/>
          <w:kern w:val="0"/>
          <w:sz w:val="27"/>
          <w:szCs w:val="27"/>
        </w:rPr>
        <w:lastRenderedPageBreak/>
        <w:drawing>
          <wp:inline distT="0" distB="0" distL="0" distR="0">
            <wp:extent cx="5400675" cy="7181850"/>
            <wp:effectExtent l="19050" t="0" r="9525" b="0"/>
            <wp:docPr id="1" name="图片 1" descr="http://www.lianjiang.gov.cn/zjljxzfw/img/0/106/106917/142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anjiang.gov.cn/zjljxzfw/img/0/106/106917/142229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597" w:rsidRPr="00B905DA" w:rsidRDefault="001C4597" w:rsidP="001C4597">
      <w:pPr>
        <w:widowControl/>
        <w:shd w:val="clear" w:color="auto" w:fill="FFFFFF"/>
        <w:wordWrap w:val="0"/>
        <w:spacing w:after="150" w:line="360" w:lineRule="atLeast"/>
        <w:jc w:val="left"/>
        <w:rPr>
          <w:rFonts w:ascii="仿宋_GB2312" w:eastAsia="仿宋_GB2312" w:hAnsi="华文仿宋"/>
          <w:sz w:val="32"/>
          <w:szCs w:val="32"/>
        </w:rPr>
      </w:pPr>
      <w:r w:rsidRPr="00B905DA">
        <w:rPr>
          <w:rFonts w:ascii="微软雅黑" w:eastAsia="微软雅黑" w:hAnsi="微软雅黑" w:cs="宋体" w:hint="eastAsia"/>
          <w:color w:val="424242"/>
          <w:kern w:val="0"/>
          <w:sz w:val="27"/>
          <w:szCs w:val="27"/>
        </w:rPr>
        <w:t xml:space="preserve">　　图2-14 粤康码通关凭证（回港易计划）</w:t>
      </w:r>
    </w:p>
    <w:p w:rsidR="001C4597" w:rsidRDefault="001C4597">
      <w:pPr>
        <w:widowControl/>
        <w:jc w:val="left"/>
        <w:rPr>
          <w:rFonts w:ascii="仿宋_GB2312" w:eastAsia="仿宋_GB2312" w:hAnsi="仿宋"/>
          <w:sz w:val="32"/>
          <w:szCs w:val="32"/>
        </w:rPr>
      </w:pPr>
    </w:p>
    <w:sectPr w:rsidR="001C4597" w:rsidSect="00EA55D6">
      <w:footerReference w:type="even" r:id="rId21"/>
      <w:footerReference w:type="default" r:id="rId22"/>
      <w:pgSz w:w="11906" w:h="16838" w:code="9"/>
      <w:pgMar w:top="1588" w:right="1588" w:bottom="1588" w:left="1588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8BD" w:rsidRDefault="009008BD" w:rsidP="00EA55D6">
      <w:r>
        <w:separator/>
      </w:r>
    </w:p>
  </w:endnote>
  <w:endnote w:type="continuationSeparator" w:id="1">
    <w:p w:rsidR="009008BD" w:rsidRDefault="009008BD" w:rsidP="00EA5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065" w:rsidRDefault="00265EB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E7206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72065" w:rsidRDefault="00E7206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065" w:rsidRDefault="00265EBB">
    <w:pPr>
      <w:pStyle w:val="a6"/>
      <w:jc w:val="center"/>
    </w:pPr>
    <w:r w:rsidRPr="00265EBB">
      <w:fldChar w:fldCharType="begin"/>
    </w:r>
    <w:r w:rsidR="00E72065">
      <w:instrText xml:space="preserve"> PAGE   \* MERGEFORMAT </w:instrText>
    </w:r>
    <w:r w:rsidRPr="00265EBB">
      <w:fldChar w:fldCharType="separate"/>
    </w:r>
    <w:r w:rsidR="00E729EE" w:rsidRPr="00E729EE">
      <w:rPr>
        <w:noProof/>
        <w:lang w:val="zh-CN"/>
      </w:rPr>
      <w:t>12</w:t>
    </w:r>
    <w:r>
      <w:rPr>
        <w:noProof/>
        <w:lang w:val="zh-CN"/>
      </w:rPr>
      <w:fldChar w:fldCharType="end"/>
    </w:r>
  </w:p>
  <w:p w:rsidR="00E72065" w:rsidRDefault="00E7206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8BD" w:rsidRDefault="009008BD" w:rsidP="00EA55D6">
      <w:r>
        <w:separator/>
      </w:r>
    </w:p>
  </w:footnote>
  <w:footnote w:type="continuationSeparator" w:id="1">
    <w:p w:rsidR="009008BD" w:rsidRDefault="009008BD" w:rsidP="00EA55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C55E411C"/>
    <w:lvl w:ilvl="0" w:tplc="A4223EAC">
      <w:start w:val="1"/>
      <w:numFmt w:val="decimal"/>
      <w:lvlText w:val="%1、"/>
      <w:lvlJc w:val="left"/>
      <w:pPr>
        <w:tabs>
          <w:tab w:val="left" w:pos="270"/>
        </w:tabs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left" w:pos="750"/>
        </w:tabs>
        <w:ind w:left="7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170"/>
        </w:tabs>
        <w:ind w:left="11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1590"/>
        </w:tabs>
        <w:ind w:left="15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left" w:pos="2010"/>
        </w:tabs>
        <w:ind w:left="20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2430"/>
        </w:tabs>
        <w:ind w:left="24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2850"/>
        </w:tabs>
        <w:ind w:left="28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left" w:pos="3270"/>
        </w:tabs>
        <w:ind w:left="32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3690"/>
        </w:tabs>
        <w:ind w:left="3690" w:hanging="420"/>
      </w:pPr>
    </w:lvl>
  </w:abstractNum>
  <w:abstractNum w:abstractNumId="1">
    <w:nsid w:val="073C3B71"/>
    <w:multiLevelType w:val="hybridMultilevel"/>
    <w:tmpl w:val="2B7EF0AC"/>
    <w:lvl w:ilvl="0" w:tplc="6D42F22C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55D6"/>
    <w:rsid w:val="00025E88"/>
    <w:rsid w:val="00091228"/>
    <w:rsid w:val="00092EB1"/>
    <w:rsid w:val="000E56A7"/>
    <w:rsid w:val="00102FB5"/>
    <w:rsid w:val="00131C3A"/>
    <w:rsid w:val="00143C48"/>
    <w:rsid w:val="00174DB9"/>
    <w:rsid w:val="001C1DC9"/>
    <w:rsid w:val="001C4597"/>
    <w:rsid w:val="002169F1"/>
    <w:rsid w:val="0026244A"/>
    <w:rsid w:val="002632BD"/>
    <w:rsid w:val="00265EBB"/>
    <w:rsid w:val="002A6165"/>
    <w:rsid w:val="0032447B"/>
    <w:rsid w:val="00347D91"/>
    <w:rsid w:val="003E006F"/>
    <w:rsid w:val="00426D77"/>
    <w:rsid w:val="00444869"/>
    <w:rsid w:val="00454123"/>
    <w:rsid w:val="004931AC"/>
    <w:rsid w:val="004B0DC4"/>
    <w:rsid w:val="004C0DF2"/>
    <w:rsid w:val="00530D53"/>
    <w:rsid w:val="00565FE6"/>
    <w:rsid w:val="00621CB0"/>
    <w:rsid w:val="0062356D"/>
    <w:rsid w:val="006761EE"/>
    <w:rsid w:val="006B708A"/>
    <w:rsid w:val="006C6810"/>
    <w:rsid w:val="00726A67"/>
    <w:rsid w:val="007B635D"/>
    <w:rsid w:val="0081716B"/>
    <w:rsid w:val="0082427A"/>
    <w:rsid w:val="008566C9"/>
    <w:rsid w:val="00870CD8"/>
    <w:rsid w:val="008E5D9D"/>
    <w:rsid w:val="009008BD"/>
    <w:rsid w:val="00955391"/>
    <w:rsid w:val="009A31C7"/>
    <w:rsid w:val="009E5204"/>
    <w:rsid w:val="00A122F9"/>
    <w:rsid w:val="00A13F7D"/>
    <w:rsid w:val="00AD3E4B"/>
    <w:rsid w:val="00B17D5F"/>
    <w:rsid w:val="00B73D22"/>
    <w:rsid w:val="00BE799B"/>
    <w:rsid w:val="00C80815"/>
    <w:rsid w:val="00C947EC"/>
    <w:rsid w:val="00C97BD5"/>
    <w:rsid w:val="00CB5EF9"/>
    <w:rsid w:val="00CB6363"/>
    <w:rsid w:val="00CC36A3"/>
    <w:rsid w:val="00CD16CA"/>
    <w:rsid w:val="00CE2FC8"/>
    <w:rsid w:val="00D21B08"/>
    <w:rsid w:val="00D300CC"/>
    <w:rsid w:val="00DA5A89"/>
    <w:rsid w:val="00E61B68"/>
    <w:rsid w:val="00E72065"/>
    <w:rsid w:val="00E729EE"/>
    <w:rsid w:val="00EA55D6"/>
    <w:rsid w:val="00EA5854"/>
    <w:rsid w:val="00EE3CDD"/>
    <w:rsid w:val="00F744CD"/>
    <w:rsid w:val="00FB4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5D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A55D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ate"/>
    <w:basedOn w:val="a"/>
    <w:next w:val="a"/>
    <w:rsid w:val="00EA55D6"/>
    <w:pPr>
      <w:ind w:leftChars="2500" w:left="100"/>
    </w:pPr>
  </w:style>
  <w:style w:type="paragraph" w:styleId="a5">
    <w:name w:val="Balloon Text"/>
    <w:basedOn w:val="a"/>
    <w:rsid w:val="00EA55D6"/>
    <w:rPr>
      <w:sz w:val="18"/>
      <w:szCs w:val="18"/>
    </w:rPr>
  </w:style>
  <w:style w:type="paragraph" w:styleId="a6">
    <w:name w:val="footer"/>
    <w:basedOn w:val="a"/>
    <w:link w:val="Char"/>
    <w:uiPriority w:val="99"/>
    <w:rsid w:val="00EA5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7">
    <w:name w:val="page number"/>
    <w:basedOn w:val="a0"/>
    <w:rsid w:val="00EA55D6"/>
  </w:style>
  <w:style w:type="paragraph" w:styleId="a8">
    <w:name w:val="header"/>
    <w:basedOn w:val="a"/>
    <w:rsid w:val="00EA5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List Paragraph"/>
    <w:basedOn w:val="a"/>
    <w:uiPriority w:val="34"/>
    <w:qFormat/>
    <w:rsid w:val="00EA55D6"/>
    <w:pPr>
      <w:ind w:firstLineChars="200" w:firstLine="420"/>
    </w:pPr>
  </w:style>
  <w:style w:type="paragraph" w:styleId="aa">
    <w:name w:val="Normal (Web)"/>
    <w:basedOn w:val="a"/>
    <w:uiPriority w:val="99"/>
    <w:rsid w:val="00EA55D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">
    <w:name w:val="页脚 Char"/>
    <w:basedOn w:val="a0"/>
    <w:link w:val="a6"/>
    <w:uiPriority w:val="99"/>
    <w:rsid w:val="00EA55D6"/>
    <w:rPr>
      <w:kern w:val="2"/>
      <w:sz w:val="18"/>
      <w:szCs w:val="18"/>
    </w:rPr>
  </w:style>
  <w:style w:type="character" w:styleId="ab">
    <w:name w:val="Hyperlink"/>
    <w:basedOn w:val="a0"/>
    <w:uiPriority w:val="99"/>
    <w:rsid w:val="00EA55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332</Words>
  <Characters>1894</Characters>
  <Application>Microsoft Office Word</Application>
  <DocSecurity>0</DocSecurity>
  <Lines>15</Lines>
  <Paragraphs>4</Paragraphs>
  <ScaleCrop>false</ScaleCrop>
  <Company>jyjrsg</Company>
  <LinksUpToDate>false</LinksUpToDate>
  <CharactersWithSpaces>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连平县2011年公开招聘中小学教师工作方案</dc:title>
  <dc:creator>Anonymous</dc:creator>
  <cp:lastModifiedBy>gyb1</cp:lastModifiedBy>
  <cp:revision>2</cp:revision>
  <cp:lastPrinted>2021-06-23T03:20:00Z</cp:lastPrinted>
  <dcterms:created xsi:type="dcterms:W3CDTF">2021-07-13T07:53:00Z</dcterms:created>
  <dcterms:modified xsi:type="dcterms:W3CDTF">2021-07-13T07:53:00Z</dcterms:modified>
</cp:coreProperties>
</file>