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b/>
          <w:bCs/>
          <w:color w:val="000000"/>
          <w:sz w:val="36"/>
          <w:szCs w:val="36"/>
        </w:rPr>
      </w:pPr>
      <w:r>
        <w:rPr>
          <w:rFonts w:hint="eastAsia" w:ascii="宋体" w:hAnsi="宋体"/>
          <w:b/>
          <w:bCs/>
          <w:color w:val="000000"/>
          <w:sz w:val="36"/>
          <w:szCs w:val="36"/>
        </w:rPr>
        <w:t>本溪市高级中学</w:t>
      </w:r>
      <w:r>
        <w:rPr>
          <w:rFonts w:hint="eastAsia" w:ascii="宋体" w:hAnsi="宋体"/>
          <w:b/>
          <w:bCs/>
          <w:color w:val="000000"/>
          <w:sz w:val="36"/>
          <w:szCs w:val="36"/>
          <w:lang w:val="en-US" w:eastAsia="zh-CN"/>
        </w:rPr>
        <w:t>附属学校小学部</w:t>
      </w:r>
      <w:r>
        <w:rPr>
          <w:rFonts w:hint="eastAsia" w:ascii="宋体" w:hAnsi="宋体"/>
          <w:b/>
          <w:bCs/>
          <w:color w:val="000000"/>
          <w:sz w:val="36"/>
          <w:szCs w:val="36"/>
          <w:highlight w:val="none"/>
        </w:rPr>
        <w:t>面向</w:t>
      </w:r>
      <w:r>
        <w:rPr>
          <w:rFonts w:hint="eastAsia" w:ascii="宋体" w:hAnsi="宋体"/>
          <w:b/>
          <w:bCs/>
          <w:color w:val="000000"/>
          <w:sz w:val="36"/>
          <w:szCs w:val="36"/>
          <w:highlight w:val="none"/>
          <w:lang w:val="en-US" w:eastAsia="zh-CN"/>
        </w:rPr>
        <w:t>高校应届毕业生</w:t>
      </w:r>
      <w:r>
        <w:rPr>
          <w:rFonts w:hint="eastAsia" w:ascii="宋体" w:hAnsi="宋体"/>
          <w:b/>
          <w:bCs/>
          <w:color w:val="000000"/>
          <w:sz w:val="36"/>
          <w:szCs w:val="36"/>
        </w:rPr>
        <w:t>网络招聘教师公告</w:t>
      </w:r>
      <w:bookmarkStart w:id="0" w:name="_Hlk52876250"/>
    </w:p>
    <w:bookmarkEnd w:id="0"/>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辽宁省本溪市高级中学附属学校是本溪市明山区教育局直属的公办学校，学校位于本溪市太子河新城核心区，占地面积约5.08公顷、建筑面积19611.82平方米，2021年9月已正式启动办学，系本溪市高级中学“一体化”统一管理学校。本溪市高级中学附属学校是一所集小学部、初中部、高中部为一体的十二年一贯制学校。学校以打造省内一流学校为目标，在“改造、完善、提升”的大原则指导下，致力于建设成一所高品质、有特色、在省内享有良好社会声誉的标准化学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溪市高级中学七十年的名校管理经验将延伸到附属学校，高中本部派出专业管理团队和学科骨干专家团队入驻附属学校，全力打造高质量的学科教学体系。附属学校在教师队伍建设上将保持本溪市高级中学的优良传统，创建学术型、专家型教师团队，他们将与本溪市高级中学本部教师形成有序的互动交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校根据年轻教师个人发展需要，设计职业生涯规划以适应未来的竞争与社会需要。新录用教师将被安排到本溪市高级中学附属学校跟岗实习，参与到学校的各类教育教研活动中，力争三年内成长为合格教师，五年内成长为优秀教师，并为新教师打开职级晋升的通道，使他们体验到做教师职业的幸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本溪市高级中学附属学校是本溪市明山区的重点民生保障工程，也是明山区人民政府重点保障的样板工程。本溪市高级中学附属学校面</w:t>
      </w:r>
      <w:r>
        <w:rPr>
          <w:rFonts w:hint="eastAsia" w:ascii="仿宋" w:hAnsi="仿宋" w:eastAsia="仿宋" w:cs="仿宋"/>
          <w:sz w:val="32"/>
          <w:szCs w:val="32"/>
          <w:highlight w:val="none"/>
        </w:rPr>
        <w:t>向</w:t>
      </w:r>
      <w:r>
        <w:rPr>
          <w:rFonts w:hint="eastAsia" w:ascii="仿宋" w:hAnsi="仿宋" w:eastAsia="仿宋" w:cs="仿宋"/>
          <w:sz w:val="32"/>
          <w:szCs w:val="32"/>
          <w:highlight w:val="none"/>
          <w:lang w:val="en-US" w:eastAsia="zh-CN"/>
        </w:rPr>
        <w:t>高校应</w:t>
      </w:r>
      <w:r>
        <w:rPr>
          <w:rFonts w:hint="eastAsia" w:ascii="仿宋" w:hAnsi="仿宋" w:eastAsia="仿宋" w:cs="仿宋"/>
          <w:sz w:val="32"/>
          <w:szCs w:val="32"/>
          <w:highlight w:val="none"/>
        </w:rPr>
        <w:t>届毕业生</w:t>
      </w:r>
      <w:r>
        <w:rPr>
          <w:rFonts w:hint="eastAsia" w:ascii="仿宋" w:hAnsi="仿宋" w:eastAsia="仿宋" w:cs="仿宋"/>
          <w:sz w:val="32"/>
          <w:szCs w:val="32"/>
          <w:lang w:val="en-US" w:eastAsia="zh-CN"/>
        </w:rPr>
        <w:t>进行</w:t>
      </w:r>
      <w:r>
        <w:rPr>
          <w:rFonts w:hint="eastAsia" w:ascii="仿宋" w:hAnsi="仿宋" w:eastAsia="仿宋" w:cs="仿宋"/>
          <w:sz w:val="32"/>
          <w:szCs w:val="32"/>
        </w:rPr>
        <w:t>网络招聘教师，享受明山区公办教师工资和福利待遇，学校也将为外地单身教师解决住宿问题。</w:t>
      </w:r>
    </w:p>
    <w:p>
      <w:pPr>
        <w:ind w:firstLine="643" w:firstLineChars="200"/>
        <w:rPr>
          <w:b/>
          <w:bCs/>
          <w:sz w:val="32"/>
          <w:szCs w:val="32"/>
          <w:highlight w:val="none"/>
        </w:rPr>
      </w:pPr>
      <w:r>
        <w:rPr>
          <w:rFonts w:hint="eastAsia"/>
          <w:b/>
          <w:bCs/>
          <w:sz w:val="32"/>
          <w:szCs w:val="32"/>
          <w:highlight w:val="none"/>
        </w:rPr>
        <w:t>一、招聘计划</w:t>
      </w:r>
    </w:p>
    <w:tbl>
      <w:tblPr>
        <w:tblStyle w:val="5"/>
        <w:tblW w:w="9366" w:type="dxa"/>
        <w:tblInd w:w="-142" w:type="dxa"/>
        <w:tblLayout w:type="fixed"/>
        <w:tblCellMar>
          <w:top w:w="0" w:type="dxa"/>
          <w:left w:w="0" w:type="dxa"/>
          <w:bottom w:w="0" w:type="dxa"/>
          <w:right w:w="0" w:type="dxa"/>
        </w:tblCellMar>
      </w:tblPr>
      <w:tblGrid>
        <w:gridCol w:w="430"/>
        <w:gridCol w:w="690"/>
        <w:gridCol w:w="1060"/>
        <w:gridCol w:w="1430"/>
        <w:gridCol w:w="500"/>
        <w:gridCol w:w="550"/>
        <w:gridCol w:w="1000"/>
        <w:gridCol w:w="1141"/>
        <w:gridCol w:w="690"/>
        <w:gridCol w:w="930"/>
        <w:gridCol w:w="945"/>
      </w:tblGrid>
      <w:tr>
        <w:tblPrEx>
          <w:tblCellMar>
            <w:top w:w="0" w:type="dxa"/>
            <w:left w:w="0" w:type="dxa"/>
            <w:bottom w:w="0" w:type="dxa"/>
            <w:right w:w="0" w:type="dxa"/>
          </w:tblCellMar>
        </w:tblPrEx>
        <w:trPr>
          <w:trHeight w:val="510" w:hRule="atLeast"/>
        </w:trPr>
        <w:tc>
          <w:tcPr>
            <w:tcW w:w="9366" w:type="dxa"/>
            <w:gridSpan w:val="11"/>
            <w:tcBorders>
              <w:top w:val="nil"/>
              <w:left w:val="nil"/>
              <w:bottom w:val="nil"/>
              <w:right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本溪市高级中学附属学校</w:t>
            </w:r>
            <w:r>
              <w:rPr>
                <w:rFonts w:hint="eastAsia" w:ascii="仿宋" w:hAnsi="仿宋" w:eastAsia="仿宋" w:cs="仿宋"/>
                <w:color w:val="000000"/>
                <w:sz w:val="32"/>
                <w:szCs w:val="32"/>
                <w:highlight w:val="none"/>
                <w:lang w:eastAsia="zh-CN"/>
              </w:rPr>
              <w:t>小学部</w:t>
            </w:r>
            <w:r>
              <w:rPr>
                <w:rFonts w:hint="eastAsia" w:ascii="仿宋" w:hAnsi="仿宋" w:eastAsia="仿宋" w:cs="仿宋"/>
                <w:color w:val="000000"/>
                <w:sz w:val="32"/>
                <w:szCs w:val="32"/>
                <w:highlight w:val="none"/>
              </w:rPr>
              <w:t>公开招聘职位表</w:t>
            </w:r>
          </w:p>
        </w:tc>
      </w:tr>
      <w:tr>
        <w:tblPrEx>
          <w:tblCellMar>
            <w:top w:w="0" w:type="dxa"/>
            <w:left w:w="0" w:type="dxa"/>
            <w:bottom w:w="0" w:type="dxa"/>
            <w:right w:w="0" w:type="dxa"/>
          </w:tblCellMar>
        </w:tblPrEx>
        <w:trPr>
          <w:trHeight w:val="600" w:hRule="atLeast"/>
        </w:trPr>
        <w:tc>
          <w:tcPr>
            <w:tcW w:w="4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编号</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主管部门</w:t>
            </w:r>
          </w:p>
        </w:tc>
        <w:tc>
          <w:tcPr>
            <w:tcW w:w="10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招聘单位</w:t>
            </w:r>
          </w:p>
        </w:tc>
        <w:tc>
          <w:tcPr>
            <w:tcW w:w="14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单位编制性质</w:t>
            </w:r>
          </w:p>
        </w:tc>
        <w:tc>
          <w:tcPr>
            <w:tcW w:w="5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招聘岗位</w:t>
            </w:r>
          </w:p>
        </w:tc>
        <w:tc>
          <w:tcPr>
            <w:tcW w:w="5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招聘人数</w:t>
            </w:r>
          </w:p>
        </w:tc>
        <w:tc>
          <w:tcPr>
            <w:tcW w:w="376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招聘条件</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备注</w:t>
            </w:r>
          </w:p>
        </w:tc>
      </w:tr>
      <w:tr>
        <w:tblPrEx>
          <w:tblCellMar>
            <w:top w:w="0" w:type="dxa"/>
            <w:left w:w="0" w:type="dxa"/>
            <w:bottom w:w="0" w:type="dxa"/>
            <w:right w:w="0" w:type="dxa"/>
          </w:tblCellMar>
        </w:tblPrEx>
        <w:trPr>
          <w:trHeight w:val="600" w:hRule="atLeast"/>
        </w:trPr>
        <w:tc>
          <w:tcPr>
            <w:tcW w:w="4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1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14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5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专业</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学历</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学位</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其他</w:t>
            </w: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p>
        </w:tc>
      </w:tr>
      <w:tr>
        <w:tblPrEx>
          <w:tblCellMar>
            <w:top w:w="0" w:type="dxa"/>
            <w:left w:w="0" w:type="dxa"/>
            <w:bottom w:w="0" w:type="dxa"/>
            <w:right w:w="0" w:type="dxa"/>
          </w:tblCellMar>
        </w:tblPrEx>
        <w:trPr>
          <w:trHeight w:val="800" w:hRule="atLeast"/>
        </w:trPr>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 xml:space="preserve">1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明山区教育局</w:t>
            </w: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本溪市高级中学附属学校</w:t>
            </w: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明山区政府所属全额拨款事业单位编制</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lang w:val="en-US" w:eastAsia="zh-CN"/>
              </w:rPr>
              <w:t>数学</w:t>
            </w:r>
            <w:r>
              <w:rPr>
                <w:rFonts w:hint="eastAsia" w:ascii="仿宋" w:hAnsi="仿宋" w:eastAsia="仿宋" w:cs="仿宋"/>
                <w:color w:val="000000"/>
                <w:highlight w:val="none"/>
              </w:rPr>
              <w:t>教育</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3</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数学</w:t>
            </w:r>
            <w:r>
              <w:rPr>
                <w:rFonts w:hint="eastAsia" w:ascii="仿宋" w:hAnsi="仿宋" w:eastAsia="仿宋" w:cs="仿宋"/>
                <w:color w:val="000000"/>
                <w:highlight w:val="none"/>
              </w:rPr>
              <w:t>类</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lang w:val="en-US" w:eastAsia="zh-CN"/>
              </w:rPr>
              <w:t>小学教育；学科教学（数学方向）</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本科及以上</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学士及以上</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对应岗位教师资格证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highlight w:val="none"/>
              </w:rPr>
            </w:pPr>
            <w:r>
              <w:rPr>
                <w:rFonts w:hint="eastAsia" w:ascii="仿宋" w:hAnsi="仿宋" w:eastAsia="仿宋" w:cs="仿宋"/>
                <w:color w:val="000000"/>
                <w:highlight w:val="none"/>
              </w:rPr>
              <w:t>具体见招聘条件</w:t>
            </w:r>
          </w:p>
        </w:tc>
      </w:tr>
      <w:tr>
        <w:tblPrEx>
          <w:tblCellMar>
            <w:top w:w="0" w:type="dxa"/>
            <w:left w:w="0" w:type="dxa"/>
            <w:bottom w:w="0" w:type="dxa"/>
            <w:right w:w="0" w:type="dxa"/>
          </w:tblCellMar>
        </w:tblPrEx>
        <w:trPr>
          <w:trHeight w:val="800" w:hRule="atLeast"/>
        </w:trPr>
        <w:tc>
          <w:tcPr>
            <w:tcW w:w="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rPr>
              <w:t>合计</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1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3</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highlight w:val="none"/>
              </w:rPr>
            </w:pPr>
          </w:p>
        </w:tc>
      </w:tr>
    </w:tbl>
    <w:p>
      <w:pPr>
        <w:rPr>
          <w:b/>
          <w:bCs/>
          <w:sz w:val="32"/>
          <w:szCs w:val="32"/>
          <w:highlight w:val="none"/>
        </w:rPr>
      </w:pPr>
    </w:p>
    <w:p>
      <w:pPr>
        <w:numPr>
          <w:ilvl w:val="0"/>
          <w:numId w:val="1"/>
        </w:numPr>
        <w:ind w:firstLine="643" w:firstLineChars="200"/>
        <w:rPr>
          <w:rFonts w:hint="eastAsia"/>
          <w:b/>
          <w:bCs/>
          <w:sz w:val="32"/>
          <w:szCs w:val="32"/>
          <w:highlight w:val="none"/>
          <w:lang w:eastAsia="zh-CN"/>
        </w:rPr>
      </w:pPr>
      <w:r>
        <w:rPr>
          <w:rFonts w:hint="eastAsia"/>
          <w:b/>
          <w:bCs/>
          <w:sz w:val="32"/>
          <w:szCs w:val="32"/>
          <w:highlight w:val="none"/>
          <w:lang w:eastAsia="zh-CN"/>
        </w:rPr>
        <w:t>招聘对象</w:t>
      </w:r>
    </w:p>
    <w:p>
      <w:pPr>
        <w:numPr>
          <w:ilvl w:val="0"/>
          <w:numId w:val="0"/>
        </w:numP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符合报考基本条件和招聘岗位具体资格条件的2021年8月1日至2022年7月31日期间取得毕业证（学位证）的2022届毕业生，及2020年、2021年离校未就业的高校毕业生。</w:t>
      </w:r>
    </w:p>
    <w:p>
      <w:pPr>
        <w:ind w:firstLine="643" w:firstLineChars="200"/>
        <w:rPr>
          <w:b/>
          <w:bCs/>
          <w:sz w:val="32"/>
          <w:szCs w:val="32"/>
          <w:highlight w:val="none"/>
        </w:rPr>
      </w:pPr>
      <w:r>
        <w:rPr>
          <w:rFonts w:hint="eastAsia"/>
          <w:b/>
          <w:bCs/>
          <w:sz w:val="32"/>
          <w:szCs w:val="32"/>
          <w:highlight w:val="none"/>
          <w:lang w:eastAsia="zh-CN"/>
        </w:rPr>
        <w:t>三</w:t>
      </w:r>
      <w:r>
        <w:rPr>
          <w:rFonts w:hint="eastAsia"/>
          <w:b/>
          <w:bCs/>
          <w:sz w:val="32"/>
          <w:szCs w:val="32"/>
          <w:highlight w:val="none"/>
        </w:rPr>
        <w:t>、招聘条件</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1.具有中华人民共和国国籍</w:t>
      </w:r>
      <w:r>
        <w:rPr>
          <w:rFonts w:hint="eastAsia" w:ascii="仿宋_GB2312" w:hAnsi="仿宋_GB2312" w:eastAsia="仿宋_GB2312" w:cs="仿宋_GB2312"/>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Times New Roman" w:hAnsi="Times New Roman" w:eastAsia="仿宋_GB2312" w:cs="Times New Roman"/>
          <w:b w:val="0"/>
          <w:bCs w:val="0"/>
          <w:color w:val="000000"/>
          <w:sz w:val="32"/>
          <w:szCs w:val="32"/>
          <w:lang w:eastAsia="zh-CN"/>
        </w:rPr>
      </w:pPr>
      <w:r>
        <w:rPr>
          <w:rFonts w:hint="eastAsia" w:ascii="仿宋_GB2312" w:hAnsi="仿宋_GB2312" w:eastAsia="仿宋_GB2312" w:cs="仿宋_GB2312"/>
          <w:bCs/>
          <w:color w:val="000000"/>
          <w:sz w:val="32"/>
          <w:szCs w:val="32"/>
          <w:highlight w:val="none"/>
        </w:rPr>
        <w:t>2.</w:t>
      </w:r>
      <w:r>
        <w:rPr>
          <w:rFonts w:hint="default" w:ascii="Times New Roman" w:hAnsi="Times New Roman" w:eastAsia="仿宋_GB2312" w:cs="Times New Roman"/>
          <w:i w:val="0"/>
          <w:caps w:val="0"/>
          <w:color w:val="000000"/>
          <w:spacing w:val="0"/>
          <w:sz w:val="32"/>
          <w:szCs w:val="32"/>
          <w:shd w:val="clear" w:color="auto" w:fill="FFFFFF"/>
        </w:rPr>
        <w:t>拥护中华人民共和国宪法，拥护中国共产党领导和社会主义制度</w:t>
      </w:r>
      <w:r>
        <w:rPr>
          <w:rFonts w:hint="eastAsia" w:ascii="Times New Roman" w:hAnsi="Times New Roman" w:eastAsia="仿宋_GB2312" w:cs="Times New Roman"/>
          <w:b w:val="0"/>
          <w:bCs w:val="0"/>
          <w:color w:val="000000"/>
          <w:sz w:val="32"/>
          <w:szCs w:val="32"/>
          <w:lang w:eastAsia="zh-CN"/>
        </w:rPr>
        <w:t>。</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3.</w:t>
      </w:r>
      <w:r>
        <w:rPr>
          <w:rFonts w:hint="default" w:ascii="Times New Roman" w:hAnsi="Times New Roman" w:eastAsia="仿宋_GB2312" w:cs="Times New Roman"/>
          <w:i w:val="0"/>
          <w:caps w:val="0"/>
          <w:color w:val="000000"/>
          <w:spacing w:val="0"/>
          <w:sz w:val="32"/>
          <w:szCs w:val="32"/>
          <w:shd w:val="clear" w:color="auto" w:fill="FFFFFF"/>
        </w:rPr>
        <w:t>具有良好的政治素质和道德品行</w:t>
      </w:r>
      <w:r>
        <w:rPr>
          <w:rFonts w:hint="eastAsia" w:ascii="Times New Roman" w:hAnsi="Times New Roman" w:eastAsia="仿宋_GB2312" w:cs="Times New Roman"/>
          <w:i w:val="0"/>
          <w:caps w:val="0"/>
          <w:color w:val="000000"/>
          <w:spacing w:val="0"/>
          <w:sz w:val="32"/>
          <w:szCs w:val="32"/>
          <w:shd w:val="clear" w:color="auto" w:fill="FFFFFF"/>
          <w:lang w:eastAsia="zh-CN"/>
        </w:rPr>
        <w:t>，</w:t>
      </w:r>
      <w:r>
        <w:rPr>
          <w:rFonts w:hint="eastAsia" w:ascii="仿宋_GB2312" w:hAnsi="仿宋_GB2312" w:eastAsia="仿宋_GB2312" w:cs="仿宋_GB2312"/>
          <w:bCs/>
          <w:color w:val="000000"/>
          <w:sz w:val="32"/>
          <w:szCs w:val="32"/>
          <w:highlight w:val="none"/>
        </w:rPr>
        <w:t>热爱教育事业，持有对应岗位教师资格证</w:t>
      </w:r>
      <w:r>
        <w:rPr>
          <w:rFonts w:hint="eastAsia" w:ascii="仿宋_GB2312" w:hAnsi="仿宋_GB2312" w:eastAsia="仿宋_GB2312" w:cs="仿宋_GB2312"/>
          <w:bCs/>
          <w:sz w:val="32"/>
          <w:szCs w:val="32"/>
          <w:highlight w:val="none"/>
        </w:rPr>
        <w:t>（202</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届毕业生在毕业前取得教师资格证即可）</w:t>
      </w:r>
      <w:r>
        <w:rPr>
          <w:rFonts w:hint="eastAsia" w:ascii="仿宋_GB2312" w:hAnsi="仿宋_GB2312" w:eastAsia="仿宋_GB2312" w:cs="仿宋_GB2312"/>
          <w:bCs/>
          <w:color w:val="000000"/>
          <w:sz w:val="32"/>
          <w:szCs w:val="32"/>
          <w:highlight w:val="none"/>
        </w:rPr>
        <w:t>，且所学专业须与所报考学科岗位相一致，自愿履行人民教师的义务</w:t>
      </w:r>
      <w:r>
        <w:rPr>
          <w:rFonts w:hint="eastAsia" w:ascii="仿宋_GB2312" w:hAnsi="仿宋_GB2312" w:eastAsia="仿宋_GB2312" w:cs="仿宋_GB2312"/>
          <w:bCs/>
          <w:color w:val="000000"/>
          <w:sz w:val="32"/>
          <w:szCs w:val="32"/>
          <w:highlight w:val="none"/>
          <w:lang w:eastAsia="zh-CN"/>
        </w:rPr>
        <w:t>。</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4.</w:t>
      </w:r>
      <w:r>
        <w:rPr>
          <w:rFonts w:hint="default" w:ascii="Times New Roman" w:hAnsi="Times New Roman" w:eastAsia="仿宋_GB2312" w:cs="Times New Roman"/>
          <w:i w:val="0"/>
          <w:caps w:val="0"/>
          <w:color w:val="000000"/>
          <w:spacing w:val="0"/>
          <w:sz w:val="32"/>
          <w:szCs w:val="32"/>
          <w:shd w:val="clear" w:color="auto" w:fill="FFFFFF"/>
        </w:rPr>
        <w:t>具有正常履行职责的身体条件和心理素质</w:t>
      </w:r>
      <w:r>
        <w:rPr>
          <w:rFonts w:hint="eastAsia" w:ascii="Times New Roman" w:hAnsi="Times New Roman" w:eastAsia="仿宋_GB2312" w:cs="Times New Roman"/>
          <w:i w:val="0"/>
          <w:caps w:val="0"/>
          <w:color w:val="000000"/>
          <w:spacing w:val="0"/>
          <w:sz w:val="32"/>
          <w:szCs w:val="32"/>
          <w:shd w:val="clear" w:color="auto" w:fill="FFFFFF"/>
          <w:lang w:eastAsia="zh-CN"/>
        </w:rPr>
        <w:t>。</w:t>
      </w:r>
    </w:p>
    <w:p>
      <w:pPr>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rPr>
        <w:t>5.本科及以上学历层次毕业生</w:t>
      </w:r>
      <w:r>
        <w:rPr>
          <w:rFonts w:hint="eastAsia" w:ascii="仿宋_GB2312" w:hAnsi="仿宋_GB2312" w:eastAsia="仿宋_GB2312" w:cs="仿宋_GB2312"/>
          <w:bCs/>
          <w:color w:val="000000"/>
          <w:sz w:val="32"/>
          <w:szCs w:val="32"/>
          <w:highlight w:val="none"/>
          <w:lang w:eastAsia="zh-CN"/>
        </w:rPr>
        <w:t>。</w:t>
      </w:r>
    </w:p>
    <w:p>
      <w:pPr>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6</w:t>
      </w:r>
      <w:r>
        <w:rPr>
          <w:rFonts w:hint="eastAsia" w:ascii="仿宋_GB2312" w:hAnsi="仿宋_GB2312" w:eastAsia="仿宋_GB2312" w:cs="仿宋_GB2312"/>
          <w:bCs/>
          <w:color w:val="000000"/>
          <w:sz w:val="32"/>
          <w:szCs w:val="32"/>
          <w:highlight w:val="none"/>
        </w:rPr>
        <w:t>.具备所报岗位要求的其它资格条件。</w:t>
      </w:r>
    </w:p>
    <w:p>
      <w:p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招聘岗位要求的学历、学位是指国家承认的学历、学位。报名人员应于202</w:t>
      </w:r>
      <w:r>
        <w:rPr>
          <w:rFonts w:hint="eastAsia" w:ascii="仿宋" w:hAnsi="仿宋" w:eastAsia="仿宋" w:cs="仿宋"/>
          <w:bCs/>
          <w:color w:val="000000"/>
          <w:sz w:val="32"/>
          <w:szCs w:val="32"/>
          <w:highlight w:val="none"/>
          <w:lang w:val="en-US" w:eastAsia="zh-CN"/>
        </w:rPr>
        <w:t>2</w:t>
      </w:r>
      <w:r>
        <w:rPr>
          <w:rFonts w:hint="eastAsia" w:ascii="仿宋" w:hAnsi="仿宋" w:eastAsia="仿宋" w:cs="仿宋"/>
          <w:bCs/>
          <w:color w:val="000000"/>
          <w:sz w:val="32"/>
          <w:szCs w:val="32"/>
          <w:highlight w:val="none"/>
        </w:rPr>
        <w:t>年7月31日（含）前获得相应的学历、学位。</w:t>
      </w:r>
    </w:p>
    <w:p>
      <w:pPr>
        <w:keepNext w:val="0"/>
        <w:keepLines w:val="0"/>
        <w:pageBreakBefore w:val="0"/>
        <w:kinsoku/>
        <w:wordWrap/>
        <w:overflowPunct/>
        <w:topLinePunct w:val="0"/>
        <w:autoSpaceDE/>
        <w:autoSpaceDN/>
        <w:bidi w:val="0"/>
        <w:adjustRightInd/>
        <w:snapToGrid/>
        <w:spacing w:line="580" w:lineRule="exact"/>
        <w:ind w:firstLine="648"/>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因犯罪受过刑事处罚的人员、有犯罪嫌疑尚未查清或正在接受纪律审查的</w:t>
      </w:r>
      <w:r>
        <w:rPr>
          <w:rFonts w:hint="eastAsia" w:ascii="Times New Roman" w:hAnsi="Times New Roman" w:eastAsia="仿宋_GB2312" w:cs="Times New Roman"/>
          <w:color w:val="000000"/>
          <w:sz w:val="32"/>
          <w:szCs w:val="32"/>
          <w:lang w:eastAsia="zh-CN"/>
        </w:rPr>
        <w:t>人员、</w:t>
      </w:r>
      <w:r>
        <w:rPr>
          <w:rFonts w:hint="default" w:ascii="Times New Roman" w:hAnsi="Times New Roman" w:eastAsia="仿宋_GB2312" w:cs="Times New Roman"/>
          <w:color w:val="000000"/>
          <w:sz w:val="32"/>
          <w:szCs w:val="32"/>
        </w:rPr>
        <w:t>被开除中国共产党党籍的人员、被开除公职的人员</w:t>
      </w:r>
      <w:r>
        <w:rPr>
          <w:rFonts w:hint="eastAsia" w:ascii="Times New Roman" w:hAnsi="Times New Roman" w:eastAsia="仿宋_GB2312" w:cs="Times New Roman"/>
          <w:color w:val="000000"/>
          <w:sz w:val="32"/>
          <w:szCs w:val="32"/>
          <w:lang w:eastAsia="zh-CN"/>
        </w:rPr>
        <w:t>，在各级公务员、事业单位招考中被认定有舞弊等严重违反录用纪律行为的人员，</w:t>
      </w:r>
      <w:r>
        <w:rPr>
          <w:rFonts w:hint="default" w:ascii="Times New Roman" w:hAnsi="Times New Roman" w:eastAsia="仿宋_GB2312" w:cs="Times New Roman"/>
          <w:color w:val="000000"/>
          <w:sz w:val="32"/>
          <w:szCs w:val="32"/>
        </w:rPr>
        <w:t>聘用后即构成回避关系的</w:t>
      </w:r>
      <w:r>
        <w:rPr>
          <w:rFonts w:hint="eastAsia" w:ascii="Times New Roman" w:hAnsi="Times New Roman" w:eastAsia="仿宋_GB2312" w:cs="Times New Roman"/>
          <w:color w:val="000000"/>
          <w:sz w:val="32"/>
          <w:szCs w:val="32"/>
          <w:lang w:eastAsia="zh-CN"/>
        </w:rPr>
        <w:t>人员，</w:t>
      </w:r>
      <w:r>
        <w:rPr>
          <w:rFonts w:hint="default" w:ascii="Times New Roman" w:hAnsi="Times New Roman" w:eastAsia="仿宋_GB2312" w:cs="Times New Roman"/>
          <w:color w:val="000000"/>
          <w:sz w:val="32"/>
          <w:szCs w:val="32"/>
        </w:rPr>
        <w:t>现役军人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在读的非应届毕业生（含在读非应届研究生不能以已取得的本科或专科学历报考，在读非应届本科生不能以已取得的专科学历报考）</w:t>
      </w:r>
      <w:r>
        <w:rPr>
          <w:rFonts w:hint="eastAsia" w:ascii="Times New Roman" w:hAnsi="Times New Roman" w:eastAsia="仿宋_GB2312" w:cs="Times New Roman"/>
          <w:color w:val="000000"/>
          <w:sz w:val="32"/>
          <w:szCs w:val="32"/>
          <w:lang w:eastAsia="zh-CN"/>
        </w:rPr>
        <w:t>，以及</w:t>
      </w:r>
      <w:r>
        <w:rPr>
          <w:rFonts w:hint="default" w:ascii="Times New Roman" w:hAnsi="Times New Roman" w:eastAsia="仿宋_GB2312" w:cs="Times New Roman"/>
          <w:color w:val="000000"/>
          <w:sz w:val="32"/>
          <w:szCs w:val="32"/>
        </w:rPr>
        <w:t>法律、法规规定不得聘用为事业单位工作人员的其他情形的人员，不得报考。</w:t>
      </w:r>
    </w:p>
    <w:p>
      <w:pPr>
        <w:keepNext w:val="0"/>
        <w:keepLines w:val="0"/>
        <w:pageBreakBefore w:val="0"/>
        <w:kinsoku/>
        <w:wordWrap/>
        <w:overflowPunct/>
        <w:topLinePunct w:val="0"/>
        <w:autoSpaceDE/>
        <w:autoSpaceDN/>
        <w:bidi w:val="0"/>
        <w:adjustRightInd/>
        <w:snapToGrid/>
        <w:spacing w:line="580" w:lineRule="exact"/>
        <w:ind w:firstLine="648"/>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报考人员须填报《应届毕业生和择业期内尚未落实工作单位的高校毕业生承诺书》（附件3）。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ind w:firstLine="643" w:firstLineChars="200"/>
        <w:rPr>
          <w:rFonts w:hint="eastAsia" w:ascii="宋体" w:hAnsi="宋体" w:cs="宋体"/>
          <w:b/>
          <w:bCs/>
          <w:sz w:val="32"/>
          <w:szCs w:val="32"/>
          <w:highlight w:val="none"/>
          <w:lang w:eastAsia="zh-CN"/>
        </w:rPr>
      </w:pPr>
    </w:p>
    <w:p>
      <w:pPr>
        <w:adjustRightInd w:val="0"/>
        <w:snapToGrid w:val="0"/>
        <w:ind w:firstLine="643" w:firstLineChars="200"/>
        <w:rPr>
          <w:rFonts w:hint="eastAsia" w:ascii="宋体" w:hAnsi="宋体" w:eastAsia="宋体" w:cs="宋体"/>
          <w:b/>
          <w:bCs/>
          <w:sz w:val="32"/>
          <w:szCs w:val="32"/>
          <w:highlight w:val="none"/>
          <w:lang w:eastAsia="zh-CN"/>
        </w:rPr>
      </w:pPr>
      <w:r>
        <w:rPr>
          <w:rFonts w:hint="eastAsia" w:ascii="宋体" w:hAnsi="宋体" w:cs="宋体"/>
          <w:b/>
          <w:bCs/>
          <w:sz w:val="32"/>
          <w:szCs w:val="32"/>
          <w:highlight w:val="none"/>
          <w:lang w:eastAsia="zh-CN"/>
        </w:rPr>
        <w:t>四</w:t>
      </w:r>
      <w:r>
        <w:rPr>
          <w:rFonts w:hint="eastAsia" w:ascii="宋体" w:hAnsi="宋体" w:cs="宋体"/>
          <w:b/>
          <w:bCs/>
          <w:sz w:val="32"/>
          <w:szCs w:val="32"/>
          <w:highlight w:val="none"/>
        </w:rPr>
        <w:t>、报考</w:t>
      </w:r>
      <w:r>
        <w:rPr>
          <w:rFonts w:hint="eastAsia" w:ascii="宋体" w:hAnsi="宋体" w:cs="宋体"/>
          <w:b/>
          <w:bCs/>
          <w:sz w:val="32"/>
          <w:szCs w:val="32"/>
          <w:highlight w:val="none"/>
          <w:lang w:val="en-US" w:eastAsia="zh-CN"/>
        </w:rPr>
        <w:t>办法和</w:t>
      </w:r>
      <w:r>
        <w:rPr>
          <w:rFonts w:hint="eastAsia" w:ascii="宋体" w:hAnsi="宋体" w:cs="宋体"/>
          <w:b/>
          <w:bCs/>
          <w:sz w:val="32"/>
          <w:szCs w:val="32"/>
          <w:highlight w:val="none"/>
        </w:rPr>
        <w:t>程序</w:t>
      </w:r>
    </w:p>
    <w:p>
      <w:pPr>
        <w:ind w:firstLine="640" w:firstLineChars="200"/>
        <w:rPr>
          <w:rFonts w:hint="eastAsia" w:ascii="仿宋" w:hAnsi="仿宋" w:eastAsia="仿宋" w:cs="仿宋"/>
          <w:bCs/>
          <w:color w:val="000000"/>
          <w:sz w:val="32"/>
          <w:szCs w:val="32"/>
          <w:highlight w:val="none"/>
          <w:lang w:val="en-US" w:eastAsia="zh-CN"/>
        </w:rPr>
      </w:pPr>
      <w:r>
        <w:rPr>
          <w:rFonts w:hint="eastAsia" w:ascii="仿宋" w:hAnsi="仿宋" w:eastAsia="仿宋" w:cs="仿宋"/>
          <w:bCs/>
          <w:color w:val="000000"/>
          <w:sz w:val="32"/>
          <w:szCs w:val="32"/>
          <w:highlight w:val="none"/>
        </w:rPr>
        <w:t>（一）发布招聘公告：</w:t>
      </w:r>
      <w:r>
        <w:rPr>
          <w:rFonts w:hint="eastAsia" w:ascii="仿宋" w:hAnsi="仿宋" w:eastAsia="仿宋" w:cs="仿宋"/>
          <w:bCs/>
          <w:color w:val="000000"/>
          <w:sz w:val="32"/>
          <w:szCs w:val="32"/>
          <w:highlight w:val="none"/>
          <w:lang w:val="en-US" w:eastAsia="zh-CN"/>
        </w:rPr>
        <w:t>本溪市高级中学网站及“公众号”、本溪市高级中学附属学校“公众号”发布。</w:t>
      </w:r>
    </w:p>
    <w:p>
      <w:p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（二）资格审查方式：</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lang w:val="en-US" w:eastAsia="zh-CN"/>
        </w:rPr>
        <w:t>2022届毕业的</w:t>
      </w:r>
      <w:r>
        <w:rPr>
          <w:rFonts w:hint="eastAsia" w:ascii="仿宋" w:hAnsi="仿宋" w:eastAsia="仿宋" w:cs="仿宋"/>
          <w:bCs/>
          <w:color w:val="000000"/>
          <w:sz w:val="32"/>
          <w:szCs w:val="32"/>
          <w:highlight w:val="none"/>
        </w:rPr>
        <w:t>应聘者报名需提交电子材料：</w:t>
      </w:r>
    </w:p>
    <w:p>
      <w:pPr>
        <w:numPr>
          <w:ilvl w:val="0"/>
          <w:numId w:val="2"/>
        </w:numPr>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本溪</w:t>
      </w:r>
      <w:r>
        <w:rPr>
          <w:rFonts w:hint="eastAsia" w:ascii="仿宋" w:hAnsi="仿宋" w:eastAsia="仿宋" w:cs="仿宋"/>
          <w:b w:val="0"/>
          <w:bCs w:val="0"/>
          <w:sz w:val="32"/>
          <w:szCs w:val="32"/>
          <w:highlight w:val="none"/>
          <w:lang w:eastAsia="zh-CN"/>
        </w:rPr>
        <w:t>市</w:t>
      </w:r>
      <w:r>
        <w:rPr>
          <w:rFonts w:hint="eastAsia" w:ascii="仿宋" w:hAnsi="仿宋" w:eastAsia="仿宋" w:cs="仿宋"/>
          <w:b w:val="0"/>
          <w:bCs w:val="0"/>
          <w:sz w:val="32"/>
          <w:szCs w:val="32"/>
          <w:highlight w:val="none"/>
        </w:rPr>
        <w:t>高</w:t>
      </w:r>
      <w:r>
        <w:rPr>
          <w:rFonts w:hint="eastAsia" w:ascii="仿宋" w:hAnsi="仿宋" w:eastAsia="仿宋" w:cs="仿宋"/>
          <w:b w:val="0"/>
          <w:bCs w:val="0"/>
          <w:sz w:val="32"/>
          <w:szCs w:val="32"/>
          <w:highlight w:val="none"/>
          <w:lang w:val="en-US" w:eastAsia="zh-CN"/>
        </w:rPr>
        <w:t>级</w:t>
      </w:r>
      <w:r>
        <w:rPr>
          <w:rFonts w:hint="eastAsia" w:ascii="仿宋" w:hAnsi="仿宋" w:eastAsia="仿宋" w:cs="仿宋"/>
          <w:b w:val="0"/>
          <w:bCs w:val="0"/>
          <w:sz w:val="32"/>
          <w:szCs w:val="32"/>
          <w:highlight w:val="none"/>
        </w:rPr>
        <w:t>中</w:t>
      </w:r>
      <w:r>
        <w:rPr>
          <w:rFonts w:hint="eastAsia" w:ascii="仿宋" w:hAnsi="仿宋" w:eastAsia="仿宋" w:cs="仿宋"/>
          <w:b w:val="0"/>
          <w:bCs w:val="0"/>
          <w:sz w:val="32"/>
          <w:szCs w:val="32"/>
          <w:highlight w:val="none"/>
          <w:lang w:val="en-US" w:eastAsia="zh-CN"/>
        </w:rPr>
        <w:t>学</w:t>
      </w:r>
      <w:r>
        <w:rPr>
          <w:rFonts w:hint="eastAsia" w:ascii="仿宋" w:hAnsi="仿宋" w:eastAsia="仿宋" w:cs="仿宋"/>
          <w:b w:val="0"/>
          <w:bCs w:val="0"/>
          <w:sz w:val="32"/>
          <w:szCs w:val="32"/>
          <w:highlight w:val="none"/>
        </w:rPr>
        <w:t>附属学校</w:t>
      </w:r>
      <w:r>
        <w:rPr>
          <w:rFonts w:hint="eastAsia" w:ascii="仿宋" w:hAnsi="仿宋" w:eastAsia="仿宋" w:cs="仿宋"/>
          <w:b w:val="0"/>
          <w:bCs w:val="0"/>
          <w:sz w:val="32"/>
          <w:szCs w:val="32"/>
          <w:highlight w:val="none"/>
          <w:lang w:val="en-US" w:eastAsia="zh-CN"/>
        </w:rPr>
        <w:t>小学部</w:t>
      </w:r>
      <w:r>
        <w:rPr>
          <w:rFonts w:hint="eastAsia" w:ascii="仿宋" w:hAnsi="仿宋" w:eastAsia="仿宋" w:cs="仿宋"/>
          <w:b w:val="0"/>
          <w:bCs w:val="0"/>
          <w:sz w:val="32"/>
          <w:szCs w:val="32"/>
          <w:highlight w:val="none"/>
        </w:rPr>
        <w:t>面向高校公开招聘教师报名表</w:t>
      </w: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w:t>
      </w:r>
    </w:p>
    <w:p>
      <w:pPr>
        <w:numPr>
          <w:ilvl w:val="0"/>
          <w:numId w:val="2"/>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个人简历</w:t>
      </w:r>
      <w:r>
        <w:rPr>
          <w:rFonts w:hint="eastAsia" w:ascii="仿宋" w:hAnsi="仿宋" w:eastAsia="仿宋" w:cs="仿宋"/>
          <w:bCs/>
          <w:color w:val="000000"/>
          <w:sz w:val="32"/>
          <w:szCs w:val="32"/>
          <w:highlight w:val="none"/>
          <w:lang w:eastAsia="zh-CN"/>
        </w:rPr>
        <w:t>。</w:t>
      </w:r>
    </w:p>
    <w:p>
      <w:pPr>
        <w:numPr>
          <w:ilvl w:val="0"/>
          <w:numId w:val="2"/>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相关资质</w:t>
      </w:r>
      <w:r>
        <w:rPr>
          <w:rFonts w:hint="eastAsia" w:ascii="仿宋" w:hAnsi="仿宋" w:eastAsia="仿宋" w:cs="仿宋"/>
          <w:bCs/>
          <w:color w:val="000000"/>
          <w:sz w:val="32"/>
          <w:szCs w:val="32"/>
          <w:highlight w:val="none"/>
          <w:lang w:eastAsia="zh-CN"/>
        </w:rPr>
        <w:t>证明</w:t>
      </w:r>
      <w:r>
        <w:rPr>
          <w:rFonts w:hint="eastAsia" w:ascii="仿宋" w:hAnsi="仿宋" w:eastAsia="仿宋" w:cs="仿宋"/>
          <w:bCs/>
          <w:color w:val="000000"/>
          <w:sz w:val="32"/>
          <w:szCs w:val="32"/>
          <w:highlight w:val="none"/>
        </w:rPr>
        <w:t>材料</w:t>
      </w:r>
      <w:r>
        <w:rPr>
          <w:rFonts w:hint="eastAsia" w:ascii="仿宋" w:hAnsi="仿宋" w:eastAsia="仿宋" w:cs="仿宋"/>
          <w:bCs/>
          <w:color w:val="000000"/>
          <w:sz w:val="32"/>
          <w:szCs w:val="32"/>
          <w:highlight w:val="none"/>
          <w:lang w:eastAsia="zh-CN"/>
        </w:rPr>
        <w:t>电子版：</w:t>
      </w:r>
      <w:r>
        <w:rPr>
          <w:rFonts w:hint="eastAsia" w:ascii="仿宋" w:hAnsi="仿宋" w:eastAsia="仿宋" w:cs="仿宋"/>
          <w:bCs/>
          <w:color w:val="000000"/>
          <w:sz w:val="32"/>
          <w:szCs w:val="32"/>
          <w:highlight w:val="none"/>
        </w:rPr>
        <w:t>学生证、学业成绩表（教务处出具）、身份证</w:t>
      </w:r>
      <w:r>
        <w:rPr>
          <w:rFonts w:hint="eastAsia" w:ascii="仿宋" w:hAnsi="仿宋" w:eastAsia="仿宋" w:cs="仿宋"/>
          <w:bCs/>
          <w:color w:val="000000"/>
          <w:sz w:val="32"/>
          <w:szCs w:val="32"/>
          <w:highlight w:val="none"/>
          <w:lang w:eastAsia="zh-CN"/>
        </w:rPr>
        <w:t>、</w:t>
      </w:r>
      <w:r>
        <w:rPr>
          <w:rFonts w:hint="eastAsia" w:ascii="仿宋" w:hAnsi="仿宋" w:eastAsia="仿宋" w:cs="仿宋"/>
          <w:bCs/>
          <w:color w:val="000000"/>
          <w:sz w:val="32"/>
          <w:szCs w:val="32"/>
          <w:highlight w:val="none"/>
          <w:lang w:val="en-US" w:eastAsia="zh-CN"/>
        </w:rPr>
        <w:t>教师资格证</w:t>
      </w:r>
      <w:r>
        <w:rPr>
          <w:rFonts w:hint="eastAsia" w:ascii="仿宋" w:hAnsi="仿宋" w:eastAsia="仿宋" w:cs="仿宋"/>
          <w:bCs/>
          <w:color w:val="000000"/>
          <w:sz w:val="32"/>
          <w:szCs w:val="32"/>
          <w:highlight w:val="none"/>
        </w:rPr>
        <w:t>等。</w:t>
      </w:r>
    </w:p>
    <w:p>
      <w:pPr>
        <w:numPr>
          <w:ilvl w:val="0"/>
          <w:numId w:val="2"/>
        </w:numPr>
        <w:ind w:firstLine="640" w:firstLineChars="200"/>
        <w:rPr>
          <w:rFonts w:ascii="仿宋" w:hAnsi="仿宋" w:eastAsia="仿宋" w:cs="仿宋"/>
          <w:bCs/>
          <w:color w:val="000000"/>
          <w:sz w:val="32"/>
          <w:szCs w:val="32"/>
          <w:highlight w:val="none"/>
        </w:rPr>
      </w:pPr>
      <w:r>
        <w:rPr>
          <w:rFonts w:hint="eastAsia" w:ascii="仿宋_GB2312" w:hAnsi="仿宋_GB2312" w:eastAsia="仿宋_GB2312" w:cs="仿宋_GB2312"/>
          <w:color w:val="auto"/>
          <w:sz w:val="32"/>
          <w:szCs w:val="32"/>
          <w:highlight w:val="none"/>
          <w:lang w:val="en-US" w:eastAsia="zh-CN"/>
        </w:rPr>
        <w:t>《网络招聘诚信承诺书》（附件2）</w:t>
      </w:r>
    </w:p>
    <w:p>
      <w:pPr>
        <w:numPr>
          <w:ilvl w:val="0"/>
          <w:numId w:val="2"/>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kern w:val="2"/>
          <w:sz w:val="32"/>
          <w:szCs w:val="32"/>
          <w:highlight w:val="none"/>
          <w:lang w:val="en-US" w:eastAsia="zh-CN" w:bidi="ar-SA"/>
        </w:rPr>
        <w:t>《应届毕业生和择业期内尚未落实工作单位的高校毕业生承诺书》（附件3）。</w:t>
      </w:r>
    </w:p>
    <w:p>
      <w:pPr>
        <w:numPr>
          <w:ilvl w:val="0"/>
          <w:numId w:val="0"/>
        </w:numPr>
        <w:ind w:firstLine="640"/>
        <w:rPr>
          <w:rFonts w:hint="eastAsia" w:ascii="仿宋" w:hAnsi="仿宋" w:eastAsia="仿宋" w:cs="仿宋"/>
          <w:bCs/>
          <w:color w:val="000000"/>
          <w:sz w:val="32"/>
          <w:szCs w:val="32"/>
          <w:highlight w:val="none"/>
          <w:lang w:val="en-US" w:eastAsia="zh-CN"/>
        </w:rPr>
      </w:pPr>
      <w:r>
        <w:rPr>
          <w:rFonts w:hint="eastAsia" w:ascii="仿宋" w:hAnsi="仿宋" w:eastAsia="仿宋" w:cs="仿宋"/>
          <w:b w:val="0"/>
          <w:bCs w:val="0"/>
          <w:sz w:val="32"/>
          <w:szCs w:val="32"/>
          <w:highlight w:val="none"/>
          <w:lang w:val="en-US" w:eastAsia="zh-CN"/>
        </w:rPr>
        <w:t>2020年、2021年离校未就业的</w:t>
      </w:r>
      <w:r>
        <w:rPr>
          <w:rFonts w:hint="eastAsia" w:ascii="仿宋" w:hAnsi="仿宋" w:eastAsia="仿宋" w:cs="仿宋"/>
          <w:bCs/>
          <w:color w:val="000000"/>
          <w:sz w:val="32"/>
          <w:szCs w:val="32"/>
          <w:highlight w:val="none"/>
          <w:lang w:val="en-US" w:eastAsia="zh-CN"/>
        </w:rPr>
        <w:t>需提供电子材料：</w:t>
      </w:r>
    </w:p>
    <w:p>
      <w:pPr>
        <w:numPr>
          <w:ilvl w:val="0"/>
          <w:numId w:val="0"/>
        </w:numPr>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Cs/>
          <w:color w:val="000000"/>
          <w:sz w:val="32"/>
          <w:szCs w:val="32"/>
          <w:highlight w:val="none"/>
          <w:lang w:val="en-US" w:eastAsia="zh-CN"/>
        </w:rPr>
        <w:t xml:space="preserve">1. </w:t>
      </w:r>
      <w:r>
        <w:rPr>
          <w:rFonts w:hint="eastAsia" w:ascii="仿宋" w:hAnsi="仿宋" w:eastAsia="仿宋" w:cs="仿宋"/>
          <w:b w:val="0"/>
          <w:bCs w:val="0"/>
          <w:sz w:val="32"/>
          <w:szCs w:val="32"/>
          <w:highlight w:val="none"/>
        </w:rPr>
        <w:t>本溪</w:t>
      </w:r>
      <w:r>
        <w:rPr>
          <w:rFonts w:hint="eastAsia" w:ascii="仿宋" w:hAnsi="仿宋" w:eastAsia="仿宋" w:cs="仿宋"/>
          <w:b w:val="0"/>
          <w:bCs w:val="0"/>
          <w:sz w:val="32"/>
          <w:szCs w:val="32"/>
          <w:highlight w:val="none"/>
          <w:lang w:eastAsia="zh-CN"/>
        </w:rPr>
        <w:t>市</w:t>
      </w:r>
      <w:r>
        <w:rPr>
          <w:rFonts w:hint="eastAsia" w:ascii="仿宋" w:hAnsi="仿宋" w:eastAsia="仿宋" w:cs="仿宋"/>
          <w:b w:val="0"/>
          <w:bCs w:val="0"/>
          <w:sz w:val="32"/>
          <w:szCs w:val="32"/>
          <w:highlight w:val="none"/>
        </w:rPr>
        <w:t>高</w:t>
      </w:r>
      <w:r>
        <w:rPr>
          <w:rFonts w:hint="eastAsia" w:ascii="仿宋" w:hAnsi="仿宋" w:eastAsia="仿宋" w:cs="仿宋"/>
          <w:b w:val="0"/>
          <w:bCs w:val="0"/>
          <w:sz w:val="32"/>
          <w:szCs w:val="32"/>
          <w:highlight w:val="none"/>
          <w:lang w:val="en-US" w:eastAsia="zh-CN"/>
        </w:rPr>
        <w:t>级</w:t>
      </w:r>
      <w:r>
        <w:rPr>
          <w:rFonts w:hint="eastAsia" w:ascii="仿宋" w:hAnsi="仿宋" w:eastAsia="仿宋" w:cs="仿宋"/>
          <w:b w:val="0"/>
          <w:bCs w:val="0"/>
          <w:sz w:val="32"/>
          <w:szCs w:val="32"/>
          <w:highlight w:val="none"/>
        </w:rPr>
        <w:t>中</w:t>
      </w:r>
      <w:r>
        <w:rPr>
          <w:rFonts w:hint="eastAsia" w:ascii="仿宋" w:hAnsi="仿宋" w:eastAsia="仿宋" w:cs="仿宋"/>
          <w:b w:val="0"/>
          <w:bCs w:val="0"/>
          <w:sz w:val="32"/>
          <w:szCs w:val="32"/>
          <w:highlight w:val="none"/>
          <w:lang w:val="en-US" w:eastAsia="zh-CN"/>
        </w:rPr>
        <w:t>学</w:t>
      </w:r>
      <w:r>
        <w:rPr>
          <w:rFonts w:hint="eastAsia" w:ascii="仿宋" w:hAnsi="仿宋" w:eastAsia="仿宋" w:cs="仿宋"/>
          <w:b w:val="0"/>
          <w:bCs w:val="0"/>
          <w:sz w:val="32"/>
          <w:szCs w:val="32"/>
          <w:highlight w:val="none"/>
        </w:rPr>
        <w:t>附属学校</w:t>
      </w:r>
      <w:r>
        <w:rPr>
          <w:rFonts w:hint="eastAsia" w:ascii="仿宋" w:hAnsi="仿宋" w:eastAsia="仿宋" w:cs="仿宋"/>
          <w:b w:val="0"/>
          <w:bCs w:val="0"/>
          <w:sz w:val="32"/>
          <w:szCs w:val="32"/>
          <w:highlight w:val="none"/>
          <w:lang w:val="en-US" w:eastAsia="zh-CN"/>
        </w:rPr>
        <w:t>小学</w:t>
      </w:r>
      <w:r>
        <w:rPr>
          <w:rFonts w:hint="eastAsia" w:ascii="仿宋" w:hAnsi="仿宋" w:eastAsia="仿宋" w:cs="仿宋"/>
          <w:b w:val="0"/>
          <w:bCs w:val="0"/>
          <w:sz w:val="32"/>
          <w:szCs w:val="32"/>
          <w:highlight w:val="none"/>
        </w:rPr>
        <w:t>部面向高校公开招聘教师报名表</w:t>
      </w: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w:t>
      </w:r>
    </w:p>
    <w:p>
      <w:pPr>
        <w:numPr>
          <w:ilvl w:val="0"/>
          <w:numId w:val="0"/>
        </w:numPr>
        <w:ind w:firstLine="640" w:firstLineChars="20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lang w:val="en-US" w:eastAsia="zh-CN"/>
        </w:rPr>
        <w:t>2.</w:t>
      </w:r>
      <w:r>
        <w:rPr>
          <w:rFonts w:hint="eastAsia" w:ascii="仿宋" w:hAnsi="仿宋" w:eastAsia="仿宋" w:cs="仿宋"/>
          <w:bCs/>
          <w:color w:val="000000"/>
          <w:sz w:val="32"/>
          <w:szCs w:val="32"/>
          <w:highlight w:val="none"/>
        </w:rPr>
        <w:t>个人简历</w:t>
      </w:r>
      <w:r>
        <w:rPr>
          <w:rFonts w:hint="eastAsia" w:ascii="仿宋" w:hAnsi="仿宋" w:eastAsia="仿宋" w:cs="仿宋"/>
          <w:bCs/>
          <w:color w:val="000000"/>
          <w:sz w:val="32"/>
          <w:szCs w:val="32"/>
          <w:highlight w:val="none"/>
          <w:lang w:eastAsia="zh-CN"/>
        </w:rPr>
        <w:t>。</w:t>
      </w:r>
    </w:p>
    <w:p>
      <w:pPr>
        <w:numPr>
          <w:ilvl w:val="0"/>
          <w:numId w:val="0"/>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lang w:val="en-US" w:eastAsia="zh-CN"/>
        </w:rPr>
        <w:t>3.相关资质证明材料电子版：毕业证、学位证、教师资格证。</w:t>
      </w:r>
    </w:p>
    <w:p>
      <w:pPr>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4.《网络招聘诚信承诺书》（附件2）</w:t>
      </w:r>
    </w:p>
    <w:p>
      <w:pPr>
        <w:numPr>
          <w:ilvl w:val="0"/>
          <w:numId w:val="0"/>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kern w:val="2"/>
          <w:sz w:val="32"/>
          <w:szCs w:val="32"/>
          <w:highlight w:val="none"/>
          <w:lang w:val="en-US" w:eastAsia="zh-CN" w:bidi="ar-SA"/>
        </w:rPr>
        <w:t>5.《应届毕业生和择业期内尚未落实工作单位的高校毕业生承诺书》（附件3）。</w:t>
      </w:r>
    </w:p>
    <w:p>
      <w:pPr>
        <w:numPr>
          <w:ilvl w:val="0"/>
          <w:numId w:val="0"/>
        </w:num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报名者提供的相关材料必须真实有效，凡弄虚作假者，一经查实，取消聘用资格。</w:t>
      </w:r>
    </w:p>
    <w:p>
      <w:pPr>
        <w:ind w:firstLine="640" w:firstLineChars="2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报名资料投递网址：</w:t>
      </w:r>
      <w:r>
        <w:rPr>
          <w:rFonts w:hint="eastAsia" w:ascii="仿宋" w:hAnsi="仿宋" w:eastAsia="仿宋" w:cs="仿宋"/>
          <w:bCs/>
          <w:color w:val="000000"/>
          <w:sz w:val="32"/>
          <w:szCs w:val="32"/>
          <w:highlight w:val="none"/>
          <w:lang w:val="en-US" w:eastAsia="zh-CN"/>
        </w:rPr>
        <w:t>投递邮箱：</w:t>
      </w:r>
      <w:r>
        <w:rPr>
          <w:rFonts w:hint="eastAsia" w:ascii="仿宋" w:hAnsi="仿宋" w:eastAsia="仿宋" w:cs="仿宋"/>
          <w:bCs/>
          <w:color w:val="auto"/>
          <w:sz w:val="32"/>
          <w:szCs w:val="32"/>
          <w:highlight w:val="none"/>
          <w:lang w:val="en-US" w:eastAsia="zh-CN"/>
        </w:rPr>
        <w:t>bxgzfsxx2@163.com；报名</w:t>
      </w:r>
      <w:r>
        <w:rPr>
          <w:rFonts w:hint="eastAsia" w:ascii="仿宋" w:hAnsi="仿宋" w:eastAsia="仿宋" w:cs="仿宋"/>
          <w:bCs/>
          <w:color w:val="000000"/>
          <w:sz w:val="32"/>
          <w:szCs w:val="32"/>
          <w:highlight w:val="none"/>
        </w:rPr>
        <w:t>接收简历时间</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val="en-US" w:eastAsia="zh-CN"/>
        </w:rPr>
        <w:t>公告发布之日至</w:t>
      </w:r>
      <w:r>
        <w:rPr>
          <w:rFonts w:hint="eastAsia" w:ascii="仿宋" w:hAnsi="仿宋" w:eastAsia="仿宋" w:cs="仿宋"/>
          <w:bCs/>
          <w:color w:val="auto"/>
          <w:sz w:val="32"/>
          <w:szCs w:val="32"/>
          <w:highlight w:val="none"/>
        </w:rPr>
        <w:t>202</w:t>
      </w:r>
      <w:r>
        <w:rPr>
          <w:rFonts w:hint="eastAsia" w:ascii="仿宋" w:hAnsi="仿宋" w:eastAsia="仿宋" w:cs="仿宋"/>
          <w:bCs/>
          <w:color w:val="auto"/>
          <w:sz w:val="32"/>
          <w:szCs w:val="32"/>
          <w:highlight w:val="none"/>
          <w:lang w:val="en-US" w:eastAsia="zh-CN"/>
        </w:rPr>
        <w:t>2</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3</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13</w:t>
      </w:r>
      <w:r>
        <w:rPr>
          <w:rFonts w:hint="eastAsia" w:ascii="仿宋" w:hAnsi="仿宋" w:eastAsia="仿宋" w:cs="仿宋"/>
          <w:bCs/>
          <w:color w:val="auto"/>
          <w:sz w:val="32"/>
          <w:szCs w:val="32"/>
          <w:highlight w:val="none"/>
        </w:rPr>
        <w:t>日。</w:t>
      </w:r>
    </w:p>
    <w:p>
      <w:pPr>
        <w:ind w:firstLine="320" w:firstLineChars="100"/>
        <w:rPr>
          <w:rFonts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（三）资格审查内容(在本人简历中要重点注明)：</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学校招考工作组对应聘者上交材料进行初审。审查原则和内容:同一岗位不设定最低开考比例;大学成绩绩点、院系排名（本专业学生数）等成绩,教科研能力等综合审查。</w:t>
      </w:r>
    </w:p>
    <w:p>
      <w:pPr>
        <w:ind w:firstLine="643" w:firstLineChars="200"/>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highlight w:val="none"/>
          <w:lang w:eastAsia="zh-CN"/>
        </w:rPr>
        <w:t>注意事项：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Cs/>
          <w:color w:val="000000"/>
          <w:sz w:val="32"/>
          <w:szCs w:val="32"/>
          <w:highlight w:val="none"/>
        </w:rPr>
      </w:pPr>
      <w:r>
        <w:rPr>
          <w:rFonts w:hint="default" w:ascii="Times New Roman" w:hAnsi="Times New Roman" w:eastAsia="仿宋_GB2312" w:cs="Times New Roman"/>
          <w:b w:val="0"/>
          <w:bCs w:val="0"/>
          <w:color w:val="000000"/>
          <w:sz w:val="32"/>
          <w:szCs w:val="32"/>
        </w:rPr>
        <w:t>报名实行诚信承诺制，</w:t>
      </w:r>
      <w:r>
        <w:rPr>
          <w:rFonts w:hint="default" w:ascii="Times New Roman" w:hAnsi="Times New Roman" w:eastAsia="仿宋_GB2312" w:cs="Times New Roman"/>
          <w:b w:val="0"/>
          <w:bCs w:val="0"/>
          <w:color w:val="000000"/>
          <w:sz w:val="32"/>
          <w:szCs w:val="32"/>
          <w:lang w:eastAsia="zh-CN"/>
        </w:rPr>
        <w:t>考生报名时要如实提交有关信息和材料，资格审查贯穿招聘全过程，并延伸到上岗后，凡弄虚作假的、或与招聘职位要求的资格条件不符的，在面试前的资格审查和聘用手续办理时一经查实，一律取消面试资格或聘用资格。</w:t>
      </w:r>
    </w:p>
    <w:p>
      <w:pPr>
        <w:ind w:firstLine="643" w:firstLineChars="200"/>
        <w:rPr>
          <w:rFonts w:hint="eastAsia" w:ascii="宋体" w:hAnsi="宋体" w:cs="仿宋"/>
          <w:b/>
          <w:bCs w:val="0"/>
          <w:color w:val="000000"/>
          <w:sz w:val="32"/>
          <w:szCs w:val="32"/>
        </w:rPr>
      </w:pPr>
      <w:r>
        <w:rPr>
          <w:rFonts w:hint="eastAsia" w:ascii="宋体" w:hAnsi="宋体" w:cs="仿宋"/>
          <w:b/>
          <w:bCs w:val="0"/>
          <w:color w:val="000000"/>
          <w:sz w:val="32"/>
          <w:szCs w:val="32"/>
        </w:rPr>
        <w:t>五</w:t>
      </w:r>
      <w:r>
        <w:rPr>
          <w:rFonts w:hint="eastAsia" w:ascii="宋体" w:hAnsi="宋体" w:cs="仿宋"/>
          <w:b/>
          <w:bCs w:val="0"/>
          <w:color w:val="000000"/>
          <w:sz w:val="32"/>
          <w:szCs w:val="32"/>
          <w:lang w:eastAsia="zh-CN"/>
        </w:rPr>
        <w:t>、</w:t>
      </w:r>
      <w:r>
        <w:rPr>
          <w:rFonts w:hint="eastAsia" w:ascii="宋体" w:hAnsi="宋体" w:cs="仿宋"/>
          <w:b/>
          <w:bCs w:val="0"/>
          <w:color w:val="000000"/>
          <w:sz w:val="32"/>
          <w:szCs w:val="32"/>
        </w:rPr>
        <w:t>教学能力测试（线上面试）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1、一轮面试：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面试内容：综合素质评价及师德素养，满分为100分。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15</w:t>
      </w:r>
      <w:r>
        <w:rPr>
          <w:rFonts w:hint="eastAsia" w:ascii="仿宋" w:hAnsi="仿宋" w:eastAsia="仿宋" w:cs="仿宋"/>
          <w:bCs/>
          <w:color w:val="000000"/>
          <w:sz w:val="32"/>
          <w:szCs w:val="32"/>
        </w:rPr>
        <w:t>日（具体事宜以电话或微信形式另行通知）。</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面试平台：“腾讯会议”，由学校通知考生。</w:t>
      </w:r>
    </w:p>
    <w:p>
      <w:pPr>
        <w:ind w:firstLine="640" w:firstLineChars="200"/>
        <w:rPr>
          <w:rFonts w:hint="eastAsia" w:ascii="仿宋" w:hAnsi="仿宋" w:eastAsia="仿宋" w:cs="仿宋"/>
          <w:sz w:val="32"/>
          <w:szCs w:val="32"/>
        </w:rPr>
      </w:pPr>
      <w:r>
        <w:rPr>
          <w:rFonts w:hint="eastAsia" w:ascii="仿宋" w:hAnsi="仿宋" w:eastAsia="仿宋" w:cs="仿宋"/>
          <w:bCs/>
          <w:color w:val="000000"/>
          <w:sz w:val="32"/>
          <w:szCs w:val="32"/>
        </w:rPr>
        <w:t>面试办法：综合素质评价及师德素养</w:t>
      </w:r>
      <w:r>
        <w:rPr>
          <w:rFonts w:hint="eastAsia" w:ascii="仿宋" w:hAnsi="仿宋" w:eastAsia="仿宋" w:cs="仿宋"/>
          <w:sz w:val="32"/>
          <w:szCs w:val="32"/>
        </w:rPr>
        <w:t>合格分数线60分。根据招聘计划，在成绩合格人员中，按照考生成绩由高分到低分顺序，按1:3的比例确定</w:t>
      </w:r>
      <w:r>
        <w:rPr>
          <w:rFonts w:hint="eastAsia" w:ascii="仿宋" w:hAnsi="仿宋" w:eastAsia="仿宋" w:cs="仿宋"/>
          <w:bCs/>
          <w:color w:val="000000"/>
          <w:sz w:val="32"/>
          <w:szCs w:val="32"/>
        </w:rPr>
        <w:t>教育理论及学科专业基础知识和技能</w:t>
      </w:r>
      <w:r>
        <w:rPr>
          <w:rFonts w:hint="eastAsia" w:ascii="仿宋" w:hAnsi="仿宋" w:eastAsia="仿宋" w:cs="仿宋"/>
          <w:bCs/>
          <w:color w:val="000000"/>
          <w:sz w:val="32"/>
          <w:szCs w:val="32"/>
          <w:lang w:val="en-US" w:eastAsia="zh-CN"/>
        </w:rPr>
        <w:t>面试</w:t>
      </w:r>
      <w:r>
        <w:rPr>
          <w:rFonts w:hint="eastAsia" w:ascii="仿宋" w:hAnsi="仿宋" w:eastAsia="仿宋" w:cs="仿宋"/>
          <w:sz w:val="32"/>
          <w:szCs w:val="32"/>
        </w:rPr>
        <w:t>人选。达不到规定比例和按规定比例成绩并列的，按实际人数确定人选。本轮成绩不带入下一环节。</w:t>
      </w:r>
      <w:r>
        <w:rPr>
          <w:rFonts w:hint="eastAsia" w:ascii="仿宋" w:hAnsi="仿宋" w:eastAsia="仿宋" w:cs="仿宋"/>
          <w:bCs/>
          <w:color w:val="000000"/>
          <w:sz w:val="32"/>
          <w:szCs w:val="32"/>
        </w:rPr>
        <w:t>未按时参加线上面试者，按弃权处理。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2、二轮面试：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面试内容：教育理论及学科专业基础知识和技能，满分为100分。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16</w:t>
      </w:r>
      <w:r>
        <w:rPr>
          <w:rFonts w:hint="eastAsia" w:ascii="仿宋" w:hAnsi="仿宋" w:eastAsia="仿宋" w:cs="仿宋"/>
          <w:bCs/>
          <w:color w:val="000000"/>
          <w:sz w:val="32"/>
          <w:szCs w:val="32"/>
        </w:rPr>
        <w:t>日（具体事宜以电话或微信形式另行通知）。</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面试平台：“腾讯会议”，由学校通知考生。</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面试办法：面试合格分数线60分。根据招聘计划，在面试成绩合格人员中，按照考生面试成绩由高分到低分顺序，按1:1的比例确定体检人选。未按时参加线上面试者，按弃权处理。</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面试后，如考生出现弃权情况，在面试合格人选中，按成绩从高到低顺序，按1:1比例递补参加体检和考核。</w:t>
      </w:r>
    </w:p>
    <w:p>
      <w:pPr>
        <w:numPr>
          <w:ilvl w:val="0"/>
          <w:numId w:val="0"/>
        </w:numPr>
        <w:rPr>
          <w:rFonts w:hint="eastAsia" w:ascii="宋体" w:hAnsi="宋体" w:cs="宋体"/>
          <w:b/>
          <w:bCs/>
          <w:sz w:val="32"/>
          <w:szCs w:val="32"/>
          <w:highlight w:val="none"/>
          <w:lang w:eastAsia="zh-CN"/>
        </w:rPr>
      </w:pPr>
      <w:r>
        <w:rPr>
          <w:rFonts w:hint="eastAsia" w:ascii="宋体" w:hAnsi="宋体" w:cs="宋体"/>
          <w:b/>
          <w:bCs/>
          <w:sz w:val="32"/>
          <w:szCs w:val="32"/>
          <w:highlight w:val="none"/>
          <w:lang w:val="en-US" w:eastAsia="zh-CN"/>
        </w:rPr>
        <w:t>六、</w:t>
      </w:r>
      <w:r>
        <w:rPr>
          <w:rFonts w:hint="eastAsia" w:ascii="宋体" w:hAnsi="宋体" w:cs="宋体"/>
          <w:b/>
          <w:bCs/>
          <w:sz w:val="32"/>
          <w:szCs w:val="32"/>
          <w:highlight w:val="none"/>
        </w:rPr>
        <w:t>体检</w:t>
      </w:r>
      <w:r>
        <w:rPr>
          <w:rFonts w:hint="eastAsia" w:ascii="宋体" w:hAnsi="宋体" w:cs="宋体"/>
          <w:b/>
          <w:bCs/>
          <w:sz w:val="32"/>
          <w:szCs w:val="32"/>
          <w:highlight w:val="none"/>
          <w:lang w:eastAsia="zh-CN"/>
        </w:rPr>
        <w:t>和考察</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58"/>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eastAsia="zh-CN"/>
        </w:rPr>
        <w:t>体检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eastAsia="zh-CN"/>
        </w:rPr>
        <w:t>体检由招聘单位统一组织在具有公务员考录和事业单位公开招聘体检经验的三级甲等医院进行。应聘者对体检结论有疑问要求复检的，可在接到体检结论的</w:t>
      </w:r>
      <w:r>
        <w:rPr>
          <w:rFonts w:hint="eastAsia" w:ascii="Times New Roman" w:hAnsi="Times New Roman" w:eastAsia="仿宋_GB2312" w:cs="Times New Roman"/>
          <w:b w:val="0"/>
          <w:bCs w:val="0"/>
          <w:color w:val="000000"/>
          <w:sz w:val="32"/>
          <w:szCs w:val="32"/>
          <w:lang w:val="en-US" w:eastAsia="zh-CN"/>
        </w:rPr>
        <w:t>7日内，以书面形式向招考机关提出，另有规定的，从其规定。复检将在应聘者提出申请的7个工作日内安排。复检内容为对体检结论有影响的项目，复检只能进行一次，体检结果以复检结论为准。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58"/>
        <w:textAlignment w:val="auto"/>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b w:val="0"/>
          <w:bCs w:val="0"/>
          <w:color w:val="000000"/>
          <w:sz w:val="32"/>
          <w:szCs w:val="32"/>
        </w:rPr>
        <w:t>体检人选、时间、</w:t>
      </w:r>
      <w:r>
        <w:rPr>
          <w:rFonts w:hint="eastAsia" w:ascii="Times New Roman" w:hAnsi="Times New Roman" w:eastAsia="仿宋_GB2312" w:cs="Times New Roman"/>
          <w:b w:val="0"/>
          <w:bCs w:val="0"/>
          <w:color w:val="000000"/>
          <w:sz w:val="32"/>
          <w:szCs w:val="32"/>
          <w:lang w:eastAsia="zh-CN"/>
        </w:rPr>
        <w:t>具体</w:t>
      </w:r>
      <w:r>
        <w:rPr>
          <w:rFonts w:hint="default" w:ascii="Times New Roman" w:hAnsi="Times New Roman" w:eastAsia="仿宋_GB2312" w:cs="Times New Roman"/>
          <w:b w:val="0"/>
          <w:bCs w:val="0"/>
          <w:color w:val="000000"/>
          <w:sz w:val="32"/>
          <w:szCs w:val="32"/>
        </w:rPr>
        <w:t>要求等将在</w:t>
      </w:r>
      <w:r>
        <w:rPr>
          <w:rFonts w:hint="eastAsia" w:ascii="Times New Roman" w:hAnsi="Times New Roman" w:eastAsia="仿宋_GB2312" w:cs="Times New Roman"/>
          <w:b w:val="0"/>
          <w:bCs w:val="0"/>
          <w:color w:val="000000"/>
          <w:sz w:val="32"/>
          <w:szCs w:val="32"/>
          <w:lang w:eastAsia="zh-CN"/>
        </w:rPr>
        <w:t>本溪市高级中学</w:t>
      </w:r>
      <w:r>
        <w:rPr>
          <w:rFonts w:hint="default" w:ascii="Times New Roman" w:hAnsi="Times New Roman" w:eastAsia="仿宋_GB2312" w:cs="Times New Roman"/>
          <w:b w:val="0"/>
          <w:bCs w:val="0"/>
          <w:color w:val="000000"/>
          <w:sz w:val="32"/>
          <w:szCs w:val="32"/>
          <w:lang w:eastAsia="zh-CN"/>
        </w:rPr>
        <w:t>网站</w:t>
      </w:r>
      <w:r>
        <w:rPr>
          <w:rFonts w:hint="default" w:ascii="Times New Roman" w:hAnsi="Times New Roman" w:eastAsia="仿宋_GB2312" w:cs="Times New Roman"/>
          <w:b w:val="0"/>
          <w:bCs w:val="0"/>
          <w:color w:val="000000"/>
          <w:sz w:val="32"/>
          <w:szCs w:val="32"/>
        </w:rPr>
        <w:t>公布。</w:t>
      </w:r>
      <w:r>
        <w:rPr>
          <w:rFonts w:hint="default" w:ascii="Times New Roman" w:hAnsi="Times New Roman" w:eastAsia="仿宋_GB2312" w:cs="Times New Roman"/>
          <w:i w:val="0"/>
          <w:caps w:val="0"/>
          <w:color w:val="000000"/>
          <w:spacing w:val="0"/>
          <w:sz w:val="32"/>
          <w:szCs w:val="32"/>
          <w:shd w:val="clear" w:color="auto" w:fill="FFFFFF"/>
        </w:rPr>
        <w:t>体检工作</w:t>
      </w:r>
      <w:r>
        <w:rPr>
          <w:rFonts w:hint="default" w:ascii="Times New Roman" w:hAnsi="Times New Roman" w:eastAsia="仿宋_GB2312" w:cs="Times New Roman"/>
          <w:i w:val="0"/>
          <w:caps w:val="0"/>
          <w:color w:val="000000"/>
          <w:spacing w:val="0"/>
          <w:sz w:val="32"/>
          <w:szCs w:val="32"/>
          <w:shd w:val="clear" w:color="auto" w:fill="FFFFFF"/>
          <w:lang w:eastAsia="zh-CN"/>
        </w:rPr>
        <w:t>参照</w:t>
      </w:r>
      <w:r>
        <w:rPr>
          <w:rFonts w:hint="default" w:ascii="Times New Roman" w:hAnsi="Times New Roman" w:eastAsia="仿宋_GB2312" w:cs="Times New Roman"/>
          <w:i w:val="0"/>
          <w:caps w:val="0"/>
          <w:color w:val="000000"/>
          <w:spacing w:val="0"/>
          <w:sz w:val="32"/>
          <w:szCs w:val="32"/>
          <w:shd w:val="clear" w:color="auto" w:fill="FFFFFF"/>
        </w:rPr>
        <w:t>公务员录用体检标准及体检操作手册等进行。体检医生与体检考生有回避关系的，应主动提出回避。对在体检过程中弄虚作假、隐瞒真实情况的体检医生或考生，要按照有关规定进行严肃处理。</w:t>
      </w:r>
    </w:p>
    <w:p>
      <w:pPr>
        <w:numPr>
          <w:ilvl w:val="0"/>
          <w:numId w:val="0"/>
        </w:numP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（二） 考察</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考察工作由招聘单位组织实施，区教育局负责监督。重点对应聘人员思想政治表现、道德品质、业务能力、工作实绩等情况进行考核，并复核报考资格。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3" w:firstLineChars="200"/>
        <w:textAlignment w:val="auto"/>
        <w:rPr>
          <w:rFonts w:hint="eastAsia" w:ascii="宋体" w:hAnsi="宋体" w:eastAsia="宋体" w:cs="宋体"/>
          <w:b/>
          <w:bCs/>
          <w:sz w:val="32"/>
          <w:szCs w:val="32"/>
          <w:lang w:val="en-US" w:eastAsia="zh-CN"/>
        </w:rPr>
      </w:pPr>
      <w:r>
        <w:rPr>
          <w:rFonts w:hint="eastAsia" w:cs="宋体"/>
          <w:b/>
          <w:bCs/>
          <w:sz w:val="32"/>
          <w:szCs w:val="32"/>
          <w:lang w:val="en-US" w:eastAsia="zh-CN"/>
        </w:rPr>
        <w:t>七</w:t>
      </w:r>
      <w:r>
        <w:rPr>
          <w:rFonts w:hint="eastAsia" w:ascii="宋体" w:hAnsi="宋体" w:eastAsia="宋体" w:cs="宋体"/>
          <w:b/>
          <w:bCs/>
          <w:sz w:val="32"/>
          <w:szCs w:val="32"/>
          <w:lang w:eastAsia="zh-CN"/>
        </w:rPr>
        <w:t>、签就业协议书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毕业生</w:t>
      </w:r>
      <w:r>
        <w:rPr>
          <w:rFonts w:hint="eastAsia" w:ascii="仿宋" w:hAnsi="仿宋" w:eastAsia="仿宋" w:cs="仿宋"/>
          <w:sz w:val="32"/>
          <w:szCs w:val="32"/>
          <w:lang w:eastAsia="zh-CN"/>
        </w:rPr>
        <w:t>签就业协议书，实行双向选择制，按总成绩排序进行签约，如双方无意签约，核准后及时通知下一名考生签约。双方达成一致后，完成签约，并报区教育局备案。体检、考察、公示及聘用须按期毕业后进行。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3" w:firstLineChars="200"/>
        <w:textAlignment w:val="auto"/>
        <w:rPr>
          <w:rFonts w:hint="eastAsia"/>
          <w:b/>
          <w:bCs/>
          <w:sz w:val="32"/>
          <w:szCs w:val="32"/>
          <w:lang w:eastAsia="zh-CN"/>
        </w:rPr>
      </w:pPr>
      <w:r>
        <w:rPr>
          <w:rFonts w:hint="eastAsia"/>
          <w:b/>
          <w:bCs/>
          <w:sz w:val="32"/>
          <w:szCs w:val="32"/>
          <w:lang w:val="en-US" w:eastAsia="zh-CN"/>
        </w:rPr>
        <w:t>八</w:t>
      </w:r>
      <w:r>
        <w:rPr>
          <w:rFonts w:hint="eastAsia"/>
          <w:b/>
          <w:bCs/>
          <w:sz w:val="32"/>
          <w:szCs w:val="32"/>
          <w:lang w:eastAsia="zh-CN"/>
        </w:rPr>
        <w:t>、公示及聘用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拟聘用人员名单将在本溪市高级中学网站公示，同时公布举报电话，接受社会监督，公示期为7个工作日。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经公示无疑义或虽有反映但不影响聘用为事业单位工作人员的考生，办理事业单位聘用手续。对反映有影响聘用的问题并查有实据的，不予聘用。对反映的问题一时难以查实的，可暂缓聘用，待查清后再决定是否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为确保教师队伍的稳定，凡经此次招聘进入本溪市高级中学附属学校</w:t>
      </w:r>
      <w:r>
        <w:rPr>
          <w:rFonts w:hint="eastAsia" w:ascii="仿宋" w:hAnsi="仿宋" w:eastAsia="仿宋" w:cs="仿宋"/>
          <w:sz w:val="32"/>
          <w:szCs w:val="32"/>
          <w:lang w:val="en-US" w:eastAsia="zh-CN"/>
        </w:rPr>
        <w:t>小学</w:t>
      </w:r>
      <w:r>
        <w:rPr>
          <w:rFonts w:hint="eastAsia" w:ascii="仿宋" w:hAnsi="仿宋" w:eastAsia="仿宋" w:cs="仿宋"/>
          <w:sz w:val="32"/>
          <w:szCs w:val="32"/>
          <w:lang w:eastAsia="zh-CN"/>
        </w:rPr>
        <w:t>部的人员在新聘用岗位最低工作年限</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年（含试用期），</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年期满后方可流动。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事业单位公开招聘人员按规定实行试用期制度。试用期一般不超过6个月(初次就业签订3年以上聘用合同的，试用期为12个月)，国家另有规定的，按规定执行。试用期包括在聘用合同期内。试用期满合格的，予以正式聘用；不合格的，取消聘用资格。</w:t>
      </w:r>
    </w:p>
    <w:p>
      <w:pPr>
        <w:numPr>
          <w:ilvl w:val="0"/>
          <w:numId w:val="0"/>
        </w:numPr>
        <w:ind w:firstLine="643" w:firstLineChars="200"/>
        <w:rPr>
          <w:rFonts w:hint="eastAsia" w:ascii="宋体" w:hAnsi="宋体" w:cs="宋体"/>
          <w:b/>
          <w:bCs/>
          <w:sz w:val="32"/>
          <w:szCs w:val="32"/>
          <w:highlight w:val="none"/>
          <w:lang w:eastAsia="zh-CN"/>
        </w:rPr>
      </w:pPr>
      <w:r>
        <w:rPr>
          <w:rFonts w:hint="eastAsia" w:ascii="宋体" w:hAnsi="宋体" w:cs="宋体"/>
          <w:b/>
          <w:bCs/>
          <w:sz w:val="32"/>
          <w:szCs w:val="32"/>
          <w:highlight w:val="none"/>
          <w:lang w:val="en-US" w:eastAsia="zh-CN"/>
        </w:rPr>
        <w:t>九</w:t>
      </w:r>
      <w:r>
        <w:rPr>
          <w:rFonts w:hint="eastAsia" w:ascii="宋体" w:hAnsi="宋体" w:cs="宋体"/>
          <w:b/>
          <w:bCs/>
          <w:sz w:val="32"/>
          <w:szCs w:val="32"/>
          <w:highlight w:val="none"/>
          <w:lang w:eastAsia="zh-CN"/>
        </w:rPr>
        <w:t>、其他事项</w:t>
      </w:r>
    </w:p>
    <w:p>
      <w:pPr>
        <w:numPr>
          <w:ilvl w:val="0"/>
          <w:numId w:val="0"/>
        </w:numPr>
        <w:ind w:firstLine="640" w:firstLineChars="200"/>
        <w:rPr>
          <w:rFonts w:eastAsia="仿宋_GB2312"/>
          <w:color w:val="000000"/>
          <w:sz w:val="32"/>
          <w:szCs w:val="32"/>
          <w:highlight w:val="none"/>
        </w:rPr>
      </w:pPr>
      <w:r>
        <w:rPr>
          <w:rFonts w:hint="eastAsia" w:ascii="Times New Roman" w:hAnsi="Times New Roman" w:eastAsia="仿宋_GB2312" w:cs="Times New Roman"/>
          <w:i w:val="0"/>
          <w:caps w:val="0"/>
          <w:color w:val="000000"/>
          <w:spacing w:val="0"/>
          <w:sz w:val="32"/>
          <w:szCs w:val="32"/>
          <w:shd w:val="clear" w:color="auto" w:fill="FFFFFF"/>
          <w:lang w:eastAsia="zh-CN"/>
        </w:rPr>
        <w:t>考生</w:t>
      </w:r>
      <w:r>
        <w:rPr>
          <w:rFonts w:hint="default" w:ascii="Times New Roman" w:hAnsi="Times New Roman" w:eastAsia="仿宋_GB2312" w:cs="Times New Roman"/>
          <w:i w:val="0"/>
          <w:caps w:val="0"/>
          <w:color w:val="000000"/>
          <w:spacing w:val="0"/>
          <w:sz w:val="32"/>
          <w:szCs w:val="32"/>
          <w:shd w:val="clear" w:color="auto" w:fill="FFFFFF"/>
        </w:rPr>
        <w:t>自报名至拟聘用人员公示期间，应确保报名时所填报的通讯工具畅通，并及时关注相关网站的公告信息，因考生个人原因未能参加笔试、资格审查、面试、体检、</w:t>
      </w:r>
      <w:r>
        <w:rPr>
          <w:rFonts w:hint="default" w:ascii="Times New Roman" w:hAnsi="Times New Roman" w:eastAsia="仿宋_GB2312" w:cs="Times New Roman"/>
          <w:i w:val="0"/>
          <w:caps w:val="0"/>
          <w:color w:val="000000"/>
          <w:spacing w:val="0"/>
          <w:sz w:val="32"/>
          <w:szCs w:val="32"/>
          <w:shd w:val="clear" w:color="auto" w:fill="FFFFFF"/>
          <w:lang w:eastAsia="zh-CN"/>
        </w:rPr>
        <w:t>考察、</w:t>
      </w:r>
      <w:r>
        <w:rPr>
          <w:rFonts w:hint="default" w:ascii="Times New Roman" w:hAnsi="Times New Roman" w:eastAsia="仿宋_GB2312" w:cs="Times New Roman"/>
          <w:i w:val="0"/>
          <w:caps w:val="0"/>
          <w:color w:val="000000"/>
          <w:spacing w:val="0"/>
          <w:sz w:val="32"/>
          <w:szCs w:val="32"/>
          <w:shd w:val="clear" w:color="auto" w:fill="FFFFFF"/>
        </w:rPr>
        <w:t>办理有关手续等招聘环节的，视为放弃应聘资格。</w:t>
      </w:r>
    </w:p>
    <w:p>
      <w:pPr>
        <w:ind w:firstLine="643" w:firstLineChars="200"/>
        <w:rPr>
          <w:rFonts w:ascii="宋体" w:hAnsi="宋体" w:cs="宋体"/>
          <w:b/>
          <w:bCs/>
          <w:sz w:val="32"/>
          <w:szCs w:val="32"/>
          <w:highlight w:val="none"/>
        </w:rPr>
      </w:pPr>
      <w:r>
        <w:rPr>
          <w:rFonts w:hint="eastAsia" w:ascii="宋体" w:hAnsi="宋体" w:cs="宋体"/>
          <w:b/>
          <w:bCs/>
          <w:sz w:val="32"/>
          <w:szCs w:val="32"/>
          <w:highlight w:val="none"/>
          <w:lang w:eastAsia="zh-CN"/>
        </w:rPr>
        <w:t>十</w:t>
      </w:r>
      <w:r>
        <w:rPr>
          <w:rFonts w:hint="eastAsia" w:ascii="宋体" w:hAnsi="宋体" w:cs="宋体"/>
          <w:b/>
          <w:bCs/>
          <w:sz w:val="32"/>
          <w:szCs w:val="32"/>
          <w:highlight w:val="none"/>
        </w:rPr>
        <w:t>、联系人及联系方式</w:t>
      </w:r>
    </w:p>
    <w:p>
      <w:pPr>
        <w:ind w:firstLine="640" w:firstLineChars="200"/>
        <w:rPr>
          <w:rFonts w:ascii="仿宋" w:hAnsi="仿宋" w:eastAsia="仿宋"/>
          <w:color w:val="000000"/>
          <w:sz w:val="32"/>
          <w:highlight w:val="none"/>
        </w:rPr>
      </w:pPr>
      <w:r>
        <w:rPr>
          <w:rFonts w:ascii="仿宋" w:hAnsi="仿宋" w:eastAsia="仿宋"/>
          <w:color w:val="000000"/>
          <w:sz w:val="32"/>
          <w:highlight w:val="none"/>
        </w:rPr>
        <w:t>联系人及电话：</w:t>
      </w:r>
    </w:p>
    <w:p>
      <w:pPr>
        <w:pStyle w:val="4"/>
        <w:spacing w:before="0" w:beforeAutospacing="0" w:after="0" w:afterAutospacing="0"/>
        <w:ind w:firstLine="640" w:firstLineChars="200"/>
        <w:rPr>
          <w:rFonts w:hint="default" w:ascii="仿宋" w:hAnsi="仿宋" w:eastAsia="仿宋" w:cs="Arial"/>
          <w:color w:val="auto"/>
          <w:sz w:val="32"/>
          <w:szCs w:val="32"/>
          <w:highlight w:val="none"/>
          <w:lang w:val="en-US" w:eastAsia="zh-CN"/>
        </w:rPr>
      </w:pPr>
      <w:r>
        <w:rPr>
          <w:rFonts w:ascii="仿宋" w:hAnsi="仿宋" w:eastAsia="仿宋"/>
          <w:color w:val="000000"/>
          <w:sz w:val="32"/>
          <w:highlight w:val="none"/>
        </w:rPr>
        <w:t xml:space="preserve"> </w:t>
      </w:r>
      <w:r>
        <w:rPr>
          <w:rFonts w:hint="eastAsia" w:ascii="仿宋" w:hAnsi="仿宋" w:eastAsia="仿宋"/>
          <w:color w:val="000000"/>
          <w:sz w:val="32"/>
          <w:highlight w:val="none"/>
          <w:lang w:val="en-US" w:eastAsia="zh-CN"/>
        </w:rPr>
        <w:t xml:space="preserve"> 李</w:t>
      </w:r>
      <w:r>
        <w:rPr>
          <w:rFonts w:hint="eastAsia" w:ascii="仿宋" w:hAnsi="仿宋" w:eastAsia="仿宋" w:cs="Arial"/>
          <w:color w:val="auto"/>
          <w:sz w:val="32"/>
          <w:szCs w:val="32"/>
          <w:highlight w:val="none"/>
          <w:lang w:val="en-US" w:eastAsia="zh-CN"/>
        </w:rPr>
        <w:t xml:space="preserve">老师  </w:t>
      </w:r>
      <w:r>
        <w:rPr>
          <w:rFonts w:hint="eastAsia" w:ascii="仿宋" w:hAnsi="仿宋" w:eastAsia="仿宋" w:cs="Arial"/>
          <w:color w:val="auto"/>
          <w:sz w:val="32"/>
          <w:szCs w:val="32"/>
          <w:highlight w:val="none"/>
        </w:rPr>
        <w:t>024-</w:t>
      </w:r>
      <w:r>
        <w:rPr>
          <w:rFonts w:hint="eastAsia" w:ascii="仿宋" w:hAnsi="仿宋" w:eastAsia="仿宋" w:cs="Arial"/>
          <w:color w:val="auto"/>
          <w:sz w:val="32"/>
          <w:szCs w:val="32"/>
          <w:highlight w:val="none"/>
          <w:lang w:val="en-US" w:eastAsia="zh-CN"/>
        </w:rPr>
        <w:t>44817011  15041403117</w:t>
      </w:r>
    </w:p>
    <w:p>
      <w:pPr>
        <w:pStyle w:val="4"/>
        <w:spacing w:before="0" w:beforeAutospacing="0" w:after="0" w:afterAutospacing="0"/>
        <w:ind w:firstLine="960" w:firstLineChars="300"/>
        <w:rPr>
          <w:rFonts w:hint="eastAsia" w:ascii="仿宋" w:hAnsi="仿宋" w:eastAsia="仿宋" w:cs="Arial"/>
          <w:color w:val="0000FF"/>
          <w:sz w:val="32"/>
          <w:szCs w:val="32"/>
          <w:highlight w:val="none"/>
          <w:lang w:val="en-US" w:eastAsia="zh-CN"/>
        </w:rPr>
      </w:pPr>
      <w:r>
        <w:rPr>
          <w:rFonts w:hint="eastAsia" w:ascii="仿宋" w:hAnsi="仿宋" w:eastAsia="仿宋" w:cs="Arial"/>
          <w:color w:val="auto"/>
          <w:sz w:val="32"/>
          <w:szCs w:val="32"/>
          <w:highlight w:val="none"/>
          <w:lang w:val="en-US" w:eastAsia="zh-CN"/>
        </w:rPr>
        <w:t>方老师</w:t>
      </w:r>
      <w:r>
        <w:rPr>
          <w:rFonts w:hint="eastAsia" w:ascii="仿宋" w:hAnsi="仿宋" w:eastAsia="仿宋" w:cs="Arial"/>
          <w:color w:val="auto"/>
          <w:sz w:val="32"/>
          <w:szCs w:val="32"/>
          <w:highlight w:val="none"/>
        </w:rPr>
        <w:t xml:space="preserve">  024-</w:t>
      </w:r>
      <w:r>
        <w:rPr>
          <w:rFonts w:hint="eastAsia" w:ascii="仿宋" w:hAnsi="仿宋" w:eastAsia="仿宋" w:cs="Arial"/>
          <w:color w:val="auto"/>
          <w:sz w:val="32"/>
          <w:szCs w:val="32"/>
          <w:highlight w:val="none"/>
          <w:lang w:val="en-US" w:eastAsia="zh-CN"/>
        </w:rPr>
        <w:t>44817011</w:t>
      </w:r>
      <w:r>
        <w:rPr>
          <w:rFonts w:hint="eastAsia" w:ascii="仿宋" w:hAnsi="仿宋" w:eastAsia="仿宋" w:cs="Arial"/>
          <w:color w:val="auto"/>
          <w:sz w:val="32"/>
          <w:szCs w:val="32"/>
          <w:highlight w:val="none"/>
        </w:rPr>
        <w:t xml:space="preserve"> </w:t>
      </w:r>
      <w:r>
        <w:rPr>
          <w:rFonts w:hint="eastAsia" w:ascii="仿宋" w:hAnsi="仿宋" w:eastAsia="仿宋" w:cs="Arial"/>
          <w:color w:val="0000FF"/>
          <w:sz w:val="32"/>
          <w:szCs w:val="32"/>
          <w:highlight w:val="none"/>
        </w:rPr>
        <w:t xml:space="preserve"> </w:t>
      </w:r>
      <w:r>
        <w:rPr>
          <w:rFonts w:hint="eastAsia" w:ascii="仿宋" w:hAnsi="仿宋" w:eastAsia="仿宋" w:cs="Arial"/>
          <w:color w:val="auto"/>
          <w:sz w:val="32"/>
          <w:szCs w:val="32"/>
          <w:highlight w:val="none"/>
          <w:lang w:val="en-US" w:eastAsia="zh-CN"/>
        </w:rPr>
        <w:t>13274146541</w:t>
      </w:r>
      <w:r>
        <w:rPr>
          <w:rFonts w:hint="eastAsia" w:ascii="仿宋" w:hAnsi="仿宋" w:eastAsia="仿宋" w:cs="Arial"/>
          <w:color w:val="auto"/>
          <w:sz w:val="32"/>
          <w:szCs w:val="32"/>
          <w:highlight w:val="none"/>
        </w:rPr>
        <w:t xml:space="preserve"> </w:t>
      </w:r>
      <w:r>
        <w:rPr>
          <w:rFonts w:hint="eastAsia" w:ascii="仿宋" w:hAnsi="仿宋" w:eastAsia="仿宋" w:cs="Arial"/>
          <w:color w:val="0000FF"/>
          <w:sz w:val="32"/>
          <w:szCs w:val="32"/>
          <w:highlight w:val="none"/>
          <w:lang w:val="en-US" w:eastAsia="zh-CN"/>
        </w:rPr>
        <w:t xml:space="preserve"> </w:t>
      </w:r>
    </w:p>
    <w:p>
      <w:pPr>
        <w:pStyle w:val="4"/>
        <w:spacing w:before="0" w:beforeAutospacing="0" w:after="0" w:afterAutospacing="0"/>
        <w:ind w:firstLine="960" w:firstLineChars="300"/>
        <w:rPr>
          <w:rFonts w:hint="default" w:ascii="仿宋" w:hAnsi="仿宋" w:eastAsia="仿宋" w:cs="Arial"/>
          <w:color w:val="0000FF"/>
          <w:sz w:val="32"/>
          <w:szCs w:val="32"/>
          <w:highlight w:val="none"/>
          <w:lang w:val="en-US" w:eastAsia="zh-CN"/>
        </w:rPr>
      </w:pPr>
      <w:r>
        <w:rPr>
          <w:rFonts w:hint="eastAsia" w:ascii="仿宋" w:hAnsi="仿宋" w:eastAsia="仿宋" w:cs="Arial"/>
          <w:color w:val="0000FF"/>
          <w:sz w:val="32"/>
          <w:szCs w:val="32"/>
          <w:highlight w:val="none"/>
          <w:lang w:val="en-US" w:eastAsia="zh-CN"/>
        </w:rPr>
        <w:t xml:space="preserve">    </w:t>
      </w:r>
    </w:p>
    <w:p>
      <w:pPr>
        <w:pStyle w:val="4"/>
        <w:spacing w:before="0" w:beforeAutospacing="0" w:after="0" w:afterAutospacing="0"/>
        <w:ind w:firstLine="960" w:firstLineChars="300"/>
        <w:rPr>
          <w:rFonts w:hint="default" w:ascii="仿宋" w:hAnsi="仿宋" w:eastAsia="仿宋" w:cs="Arial"/>
          <w:color w:val="0000FF"/>
          <w:sz w:val="32"/>
          <w:szCs w:val="32"/>
          <w:highlight w:val="none"/>
          <w:lang w:val="en-US" w:eastAsia="zh-CN"/>
        </w:rPr>
      </w:pPr>
      <w:r>
        <w:rPr>
          <w:rFonts w:hint="eastAsia" w:ascii="仿宋" w:hAnsi="仿宋" w:eastAsia="仿宋" w:cs="Arial"/>
          <w:color w:val="0000FF"/>
          <w:sz w:val="32"/>
          <w:szCs w:val="32"/>
          <w:highlight w:val="none"/>
          <w:lang w:val="en-US" w:eastAsia="zh-CN"/>
        </w:rPr>
        <w:t xml:space="preserve"> </w:t>
      </w:r>
      <w:r>
        <w:rPr>
          <w:rFonts w:hint="eastAsia" w:ascii="仿宋" w:hAnsi="仿宋" w:eastAsia="仿宋" w:cs="Arial"/>
          <w:color w:val="0000FF"/>
          <w:sz w:val="32"/>
          <w:szCs w:val="32"/>
          <w:highlight w:val="none"/>
        </w:rPr>
        <w:t xml:space="preserve"> </w:t>
      </w:r>
    </w:p>
    <w:p>
      <w:pPr>
        <w:tabs>
          <w:tab w:val="left" w:pos="3600"/>
        </w:tabs>
        <w:snapToGrid w:val="0"/>
        <w:spacing w:line="600" w:lineRule="exact"/>
        <w:ind w:right="1280" w:firstLine="320" w:firstLineChars="100"/>
        <w:jc w:val="right"/>
        <w:rPr>
          <w:rFonts w:ascii="仿宋" w:hAnsi="仿宋" w:eastAsia="仿宋"/>
          <w:color w:val="000000"/>
          <w:sz w:val="32"/>
          <w:highlight w:val="none"/>
        </w:rPr>
      </w:pPr>
      <w:r>
        <w:rPr>
          <w:rFonts w:hint="eastAsia" w:ascii="仿宋" w:hAnsi="仿宋" w:eastAsia="仿宋"/>
          <w:color w:val="000000"/>
          <w:sz w:val="32"/>
          <w:highlight w:val="none"/>
        </w:rPr>
        <w:t xml:space="preserve"> </w:t>
      </w:r>
      <w:r>
        <w:rPr>
          <w:rFonts w:ascii="仿宋" w:hAnsi="仿宋" w:eastAsia="仿宋"/>
          <w:color w:val="000000"/>
          <w:sz w:val="32"/>
          <w:highlight w:val="none"/>
        </w:rPr>
        <w:t xml:space="preserve">             </w:t>
      </w:r>
      <w:r>
        <w:rPr>
          <w:rFonts w:hint="eastAsia" w:ascii="仿宋" w:hAnsi="仿宋" w:eastAsia="仿宋"/>
          <w:color w:val="000000"/>
          <w:sz w:val="32"/>
          <w:highlight w:val="none"/>
        </w:rPr>
        <w:t>本溪市高级中学附属学校</w:t>
      </w:r>
    </w:p>
    <w:p>
      <w:pPr>
        <w:tabs>
          <w:tab w:val="left" w:pos="3600"/>
        </w:tabs>
        <w:snapToGrid w:val="0"/>
        <w:spacing w:line="600" w:lineRule="exact"/>
        <w:ind w:left="404" w:right="1600" w:hanging="4"/>
        <w:jc w:val="right"/>
        <w:rPr>
          <w:rFonts w:hint="eastAsia" w:ascii="仿宋" w:hAnsi="仿宋" w:eastAsia="仿宋"/>
          <w:color w:val="000000"/>
          <w:sz w:val="32"/>
          <w:highlight w:val="none"/>
        </w:rPr>
      </w:pPr>
      <w:r>
        <w:rPr>
          <w:rFonts w:hint="eastAsia" w:ascii="仿宋" w:hAnsi="仿宋" w:eastAsia="仿宋"/>
          <w:color w:val="0000FF"/>
          <w:sz w:val="32"/>
          <w:highlight w:val="none"/>
        </w:rPr>
        <w:t xml:space="preserve"> </w:t>
      </w:r>
      <w:r>
        <w:rPr>
          <w:rFonts w:hint="eastAsia" w:ascii="仿宋" w:hAnsi="仿宋" w:eastAsia="仿宋"/>
          <w:color w:val="auto"/>
          <w:sz w:val="32"/>
          <w:highlight w:val="none"/>
        </w:rPr>
        <w:t xml:space="preserve">      </w:t>
      </w:r>
      <w:r>
        <w:rPr>
          <w:rFonts w:ascii="仿宋" w:hAnsi="仿宋" w:eastAsia="仿宋"/>
          <w:color w:val="auto"/>
          <w:sz w:val="32"/>
          <w:highlight w:val="none"/>
        </w:rPr>
        <w:t>202</w:t>
      </w:r>
      <w:r>
        <w:rPr>
          <w:rFonts w:hint="eastAsia" w:ascii="仿宋" w:hAnsi="仿宋" w:eastAsia="仿宋"/>
          <w:color w:val="auto"/>
          <w:sz w:val="32"/>
          <w:highlight w:val="none"/>
          <w:lang w:val="en-US" w:eastAsia="zh-CN"/>
        </w:rPr>
        <w:t>2</w:t>
      </w:r>
      <w:r>
        <w:rPr>
          <w:rFonts w:hint="eastAsia" w:ascii="仿宋" w:hAnsi="仿宋" w:eastAsia="仿宋"/>
          <w:color w:val="auto"/>
          <w:sz w:val="32"/>
          <w:highlight w:val="none"/>
        </w:rPr>
        <w:t>年</w:t>
      </w:r>
      <w:r>
        <w:rPr>
          <w:rFonts w:hint="eastAsia" w:ascii="仿宋" w:hAnsi="仿宋" w:eastAsia="仿宋"/>
          <w:color w:val="auto"/>
          <w:sz w:val="32"/>
          <w:highlight w:val="none"/>
          <w:lang w:val="en-US" w:eastAsia="zh-CN"/>
        </w:rPr>
        <w:t xml:space="preserve">3 </w:t>
      </w:r>
      <w:r>
        <w:rPr>
          <w:rFonts w:hint="eastAsia" w:ascii="仿宋" w:hAnsi="仿宋" w:eastAsia="仿宋"/>
          <w:color w:val="auto"/>
          <w:sz w:val="32"/>
          <w:highlight w:val="none"/>
        </w:rPr>
        <w:t>月</w:t>
      </w:r>
      <w:r>
        <w:rPr>
          <w:rFonts w:hint="eastAsia" w:ascii="仿宋" w:hAnsi="仿宋" w:eastAsia="仿宋"/>
          <w:color w:val="auto"/>
          <w:sz w:val="32"/>
          <w:highlight w:val="none"/>
          <w:lang w:val="en-US" w:eastAsia="zh-CN"/>
        </w:rPr>
        <w:t>3</w:t>
      </w:r>
      <w:bookmarkStart w:id="1" w:name="_GoBack"/>
      <w:bookmarkEnd w:id="1"/>
      <w:r>
        <w:rPr>
          <w:rFonts w:hint="eastAsia" w:ascii="仿宋" w:hAnsi="仿宋" w:eastAsia="仿宋"/>
          <w:color w:val="auto"/>
          <w:sz w:val="32"/>
          <w:highlight w:val="none"/>
        </w:rPr>
        <w:t>日</w:t>
      </w:r>
    </w:p>
    <w:tbl>
      <w:tblPr>
        <w:tblStyle w:val="5"/>
        <w:tblpPr w:leftFromText="180" w:rightFromText="180" w:vertAnchor="text" w:horzAnchor="page" w:tblpX="1792" w:tblpY="744"/>
        <w:tblOverlap w:val="never"/>
        <w:tblW w:w="10221" w:type="dxa"/>
        <w:tblInd w:w="0" w:type="dxa"/>
        <w:tblLayout w:type="fixed"/>
        <w:tblCellMar>
          <w:top w:w="15" w:type="dxa"/>
          <w:left w:w="108" w:type="dxa"/>
          <w:bottom w:w="0" w:type="dxa"/>
          <w:right w:w="108" w:type="dxa"/>
        </w:tblCellMar>
      </w:tblPr>
      <w:tblGrid>
        <w:gridCol w:w="1799"/>
        <w:gridCol w:w="1860"/>
        <w:gridCol w:w="1066"/>
        <w:gridCol w:w="9"/>
        <w:gridCol w:w="1984"/>
        <w:gridCol w:w="107"/>
        <w:gridCol w:w="1311"/>
        <w:gridCol w:w="1275"/>
        <w:gridCol w:w="810"/>
      </w:tblGrid>
      <w:tr>
        <w:tblPrEx>
          <w:tblCellMar>
            <w:top w:w="15" w:type="dxa"/>
            <w:left w:w="108" w:type="dxa"/>
            <w:bottom w:w="0" w:type="dxa"/>
            <w:right w:w="108" w:type="dxa"/>
          </w:tblCellMar>
        </w:tblPrEx>
        <w:trPr>
          <w:gridAfter w:val="1"/>
          <w:wAfter w:w="810" w:type="dxa"/>
          <w:trHeight w:val="510" w:hRule="atLeast"/>
        </w:trPr>
        <w:tc>
          <w:tcPr>
            <w:tcW w:w="9411" w:type="dxa"/>
            <w:gridSpan w:val="8"/>
            <w:tcBorders>
              <w:top w:val="nil"/>
              <w:left w:val="nil"/>
              <w:bottom w:val="nil"/>
              <w:right w:val="nil"/>
            </w:tcBorders>
            <w:noWrap/>
            <w:vAlign w:val="center"/>
          </w:tcPr>
          <w:p>
            <w:pPr>
              <w:widowControl/>
              <w:jc w:val="center"/>
              <w:rPr>
                <w:rFonts w:ascii="宋体" w:hAnsi="宋体" w:cs="宋体"/>
                <w:b/>
                <w:bCs/>
                <w:sz w:val="36"/>
                <w:szCs w:val="36"/>
                <w:highlight w:val="none"/>
              </w:rPr>
            </w:pPr>
            <w:r>
              <w:rPr>
                <w:rFonts w:hint="eastAsia" w:ascii="宋体" w:hAnsi="宋体" w:cs="宋体"/>
                <w:b/>
                <w:bCs/>
                <w:sz w:val="32"/>
                <w:szCs w:val="32"/>
                <w:highlight w:val="none"/>
              </w:rPr>
              <w:t>本溪</w:t>
            </w:r>
            <w:r>
              <w:rPr>
                <w:rFonts w:hint="eastAsia" w:ascii="宋体" w:hAnsi="宋体" w:cs="宋体"/>
                <w:b/>
                <w:bCs/>
                <w:sz w:val="32"/>
                <w:szCs w:val="32"/>
                <w:highlight w:val="none"/>
                <w:lang w:eastAsia="zh-CN"/>
              </w:rPr>
              <w:t>市</w:t>
            </w:r>
            <w:r>
              <w:rPr>
                <w:rFonts w:hint="eastAsia" w:ascii="宋体" w:hAnsi="宋体" w:cs="宋体"/>
                <w:b/>
                <w:bCs/>
                <w:sz w:val="32"/>
                <w:szCs w:val="32"/>
                <w:highlight w:val="none"/>
              </w:rPr>
              <w:t>高</w:t>
            </w:r>
            <w:r>
              <w:rPr>
                <w:rFonts w:hint="eastAsia" w:ascii="宋体" w:hAnsi="宋体" w:cs="宋体"/>
                <w:b/>
                <w:bCs/>
                <w:sz w:val="32"/>
                <w:szCs w:val="32"/>
                <w:highlight w:val="none"/>
                <w:lang w:val="en-US" w:eastAsia="zh-CN"/>
              </w:rPr>
              <w:t>级</w:t>
            </w:r>
            <w:r>
              <w:rPr>
                <w:rFonts w:hint="eastAsia" w:ascii="宋体" w:hAnsi="宋体" w:cs="宋体"/>
                <w:b/>
                <w:bCs/>
                <w:sz w:val="32"/>
                <w:szCs w:val="32"/>
                <w:highlight w:val="none"/>
              </w:rPr>
              <w:t>中</w:t>
            </w:r>
            <w:r>
              <w:rPr>
                <w:rFonts w:hint="eastAsia" w:ascii="宋体" w:hAnsi="宋体" w:cs="宋体"/>
                <w:b/>
                <w:bCs/>
                <w:sz w:val="32"/>
                <w:szCs w:val="32"/>
                <w:highlight w:val="none"/>
                <w:lang w:val="en-US" w:eastAsia="zh-CN"/>
              </w:rPr>
              <w:t>学</w:t>
            </w:r>
            <w:r>
              <w:rPr>
                <w:rFonts w:hint="eastAsia" w:ascii="宋体" w:hAnsi="宋体" w:cs="宋体"/>
                <w:b/>
                <w:bCs/>
                <w:sz w:val="32"/>
                <w:szCs w:val="32"/>
                <w:highlight w:val="none"/>
              </w:rPr>
              <w:t>附属学校</w:t>
            </w:r>
            <w:r>
              <w:rPr>
                <w:rFonts w:hint="eastAsia" w:ascii="宋体" w:hAnsi="宋体" w:cs="宋体"/>
                <w:b/>
                <w:bCs/>
                <w:sz w:val="32"/>
                <w:szCs w:val="32"/>
                <w:highlight w:val="none"/>
                <w:lang w:val="en-US" w:eastAsia="zh-CN"/>
              </w:rPr>
              <w:t>小学</w:t>
            </w:r>
            <w:r>
              <w:rPr>
                <w:rFonts w:hint="eastAsia" w:ascii="宋体" w:hAnsi="宋体" w:cs="宋体"/>
                <w:b/>
                <w:bCs/>
                <w:sz w:val="32"/>
                <w:szCs w:val="32"/>
                <w:highlight w:val="none"/>
              </w:rPr>
              <w:t>部面向高校公开招聘教师报名表</w:t>
            </w:r>
          </w:p>
        </w:tc>
      </w:tr>
      <w:tr>
        <w:tblPrEx>
          <w:tblCellMar>
            <w:top w:w="15" w:type="dxa"/>
            <w:left w:w="108" w:type="dxa"/>
            <w:bottom w:w="0" w:type="dxa"/>
            <w:right w:w="108" w:type="dxa"/>
          </w:tblCellMar>
        </w:tblPrEx>
        <w:trPr>
          <w:gridAfter w:val="1"/>
          <w:wAfter w:w="810" w:type="dxa"/>
          <w:trHeight w:val="405" w:hRule="atLeast"/>
        </w:trPr>
        <w:tc>
          <w:tcPr>
            <w:tcW w:w="1799" w:type="dxa"/>
            <w:tcBorders>
              <w:top w:val="nil"/>
              <w:left w:val="nil"/>
              <w:bottom w:val="single" w:color="auto" w:sz="4" w:space="0"/>
              <w:right w:val="nil"/>
            </w:tcBorders>
            <w:noWrap/>
            <w:vAlign w:val="center"/>
          </w:tcPr>
          <w:p>
            <w:pPr>
              <w:widowControl/>
              <w:jc w:val="left"/>
              <w:rPr>
                <w:rFonts w:ascii="宋体" w:hAnsi="宋体" w:cs="宋体"/>
                <w:b/>
                <w:bCs/>
                <w:sz w:val="24"/>
                <w:szCs w:val="24"/>
                <w:highlight w:val="none"/>
              </w:rPr>
            </w:pPr>
            <w:r>
              <w:rPr>
                <w:rFonts w:hint="eastAsia" w:ascii="宋体" w:hAnsi="宋体" w:cs="宋体"/>
                <w:b/>
                <w:bCs/>
                <w:sz w:val="24"/>
                <w:szCs w:val="24"/>
                <w:highlight w:val="none"/>
              </w:rPr>
              <w:t>编号：</w:t>
            </w:r>
          </w:p>
        </w:tc>
        <w:tc>
          <w:tcPr>
            <w:tcW w:w="1860" w:type="dxa"/>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075" w:type="dxa"/>
            <w:gridSpan w:val="2"/>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984" w:type="dxa"/>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418" w:type="dxa"/>
            <w:gridSpan w:val="2"/>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c>
          <w:tcPr>
            <w:tcW w:w="1275" w:type="dxa"/>
            <w:tcBorders>
              <w:top w:val="nil"/>
              <w:left w:val="nil"/>
              <w:bottom w:val="single" w:color="auto" w:sz="4" w:space="0"/>
              <w:right w:val="nil"/>
            </w:tcBorders>
            <w:noWrap/>
            <w:vAlign w:val="center"/>
          </w:tcPr>
          <w:p>
            <w:pPr>
              <w:widowControl/>
              <w:jc w:val="center"/>
              <w:rPr>
                <w:rFonts w:ascii="宋体" w:hAnsi="宋体" w:cs="宋体"/>
                <w:b/>
                <w:bCs/>
                <w:sz w:val="24"/>
                <w:szCs w:val="24"/>
                <w:highlight w:val="none"/>
              </w:rPr>
            </w:pPr>
            <w:r>
              <w:rPr>
                <w:rFonts w:hint="eastAsia" w:ascii="宋体" w:hAnsi="宋体" w:cs="宋体"/>
                <w:b/>
                <w:bCs/>
                <w:sz w:val="24"/>
                <w:szCs w:val="24"/>
                <w:highlight w:val="none"/>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姓    名</w:t>
            </w:r>
          </w:p>
        </w:tc>
        <w:tc>
          <w:tcPr>
            <w:tcW w:w="1860"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07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性别</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41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出生年月</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735" w:hRule="atLeast"/>
        </w:trPr>
        <w:tc>
          <w:tcPr>
            <w:tcW w:w="17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户籍所在地及家庭住址</w:t>
            </w:r>
          </w:p>
        </w:tc>
        <w:tc>
          <w:tcPr>
            <w:tcW w:w="2935" w:type="dxa"/>
            <w:gridSpan w:val="3"/>
            <w:tcBorders>
              <w:top w:val="single" w:color="auto" w:sz="4" w:space="0"/>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是否师范类       毕业生</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毕业院校</w:t>
            </w:r>
          </w:p>
        </w:tc>
        <w:tc>
          <w:tcPr>
            <w:tcW w:w="2935"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毕业时间</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专    业</w:t>
            </w:r>
          </w:p>
        </w:tc>
        <w:tc>
          <w:tcPr>
            <w:tcW w:w="1860"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075" w:type="dxa"/>
            <w:gridSpan w:val="2"/>
            <w:tcBorders>
              <w:top w:val="nil"/>
              <w:left w:val="nil"/>
              <w:bottom w:val="single" w:color="auto" w:sz="4" w:space="0"/>
              <w:right w:val="single" w:color="auto" w:sz="4" w:space="0"/>
            </w:tcBorders>
            <w:noWrap/>
            <w:vAlign w:val="center"/>
          </w:tcPr>
          <w:p>
            <w:pPr>
              <w:widowControl/>
              <w:ind w:firstLine="240" w:firstLineChars="100"/>
              <w:rPr>
                <w:rFonts w:ascii="宋体" w:hAnsi="宋体" w:cs="宋体"/>
                <w:sz w:val="24"/>
                <w:szCs w:val="24"/>
                <w:highlight w:val="none"/>
              </w:rPr>
            </w:pPr>
            <w:r>
              <w:rPr>
                <w:rFonts w:hint="eastAsia" w:ascii="宋体" w:hAnsi="宋体" w:cs="宋体"/>
                <w:sz w:val="24"/>
                <w:szCs w:val="24"/>
                <w:highlight w:val="none"/>
              </w:rPr>
              <w:t>学历</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41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学   位</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840" w:hRule="atLeast"/>
        </w:trPr>
        <w:tc>
          <w:tcPr>
            <w:tcW w:w="17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教师资格证种类</w:t>
            </w:r>
          </w:p>
        </w:tc>
        <w:tc>
          <w:tcPr>
            <w:tcW w:w="2935"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教师资格证任教学科</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810" w:hRule="atLeast"/>
        </w:trPr>
        <w:tc>
          <w:tcPr>
            <w:tcW w:w="36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研究生毕业 本科阶段毕业院校、专业</w:t>
            </w:r>
          </w:p>
        </w:tc>
        <w:tc>
          <w:tcPr>
            <w:tcW w:w="1075" w:type="dxa"/>
            <w:gridSpan w:val="2"/>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418" w:type="dxa"/>
            <w:gridSpan w:val="2"/>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79"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报考岗位</w:t>
            </w:r>
          </w:p>
        </w:tc>
        <w:tc>
          <w:tcPr>
            <w:tcW w:w="7612"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p>
        </w:tc>
      </w:tr>
      <w:tr>
        <w:tblPrEx>
          <w:tblCellMar>
            <w:top w:w="15" w:type="dxa"/>
            <w:left w:w="108" w:type="dxa"/>
            <w:bottom w:w="0" w:type="dxa"/>
            <w:right w:w="108" w:type="dxa"/>
          </w:tblCellMar>
        </w:tblPrEx>
        <w:trPr>
          <w:gridAfter w:val="1"/>
          <w:wAfter w:w="810" w:type="dxa"/>
          <w:trHeight w:val="679"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高考成绩</w:t>
            </w:r>
          </w:p>
        </w:tc>
        <w:tc>
          <w:tcPr>
            <w:tcW w:w="292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sz w:val="24"/>
                <w:szCs w:val="24"/>
                <w:highlight w:val="none"/>
              </w:rPr>
            </w:pPr>
          </w:p>
        </w:tc>
        <w:tc>
          <w:tcPr>
            <w:tcW w:w="21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专业排名</w:t>
            </w:r>
          </w:p>
        </w:tc>
        <w:tc>
          <w:tcPr>
            <w:tcW w:w="258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联系电话</w:t>
            </w:r>
          </w:p>
        </w:tc>
        <w:tc>
          <w:tcPr>
            <w:tcW w:w="1860" w:type="dxa"/>
            <w:tcBorders>
              <w:top w:val="nil"/>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1075" w:type="dxa"/>
            <w:gridSpan w:val="2"/>
            <w:tcBorders>
              <w:top w:val="nil"/>
              <w:left w:val="nil"/>
              <w:bottom w:val="single" w:color="auto" w:sz="4" w:space="0"/>
              <w:right w:val="nil"/>
            </w:tcBorders>
            <w:noWrap/>
            <w:vAlign w:val="center"/>
          </w:tcPr>
          <w:p>
            <w:pPr>
              <w:widowControl/>
              <w:jc w:val="left"/>
              <w:rPr>
                <w:rFonts w:ascii="宋体" w:hAnsi="宋体" w:cs="宋体"/>
                <w:sz w:val="24"/>
                <w:szCs w:val="24"/>
                <w:highlight w:val="none"/>
              </w:rPr>
            </w:pPr>
            <w:r>
              <w:rPr>
                <w:rFonts w:hint="eastAsia" w:ascii="宋体" w:hAnsi="宋体" w:cs="宋体"/>
                <w:sz w:val="24"/>
                <w:szCs w:val="24"/>
                <w:highlight w:val="none"/>
              </w:rPr>
              <w:t>　</w:t>
            </w:r>
          </w:p>
        </w:tc>
        <w:tc>
          <w:tcPr>
            <w:tcW w:w="1984" w:type="dxa"/>
            <w:tcBorders>
              <w:top w:val="nil"/>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r>
      <w:tr>
        <w:tblPrEx>
          <w:tblCellMar>
            <w:top w:w="15" w:type="dxa"/>
            <w:left w:w="108" w:type="dxa"/>
            <w:bottom w:w="0" w:type="dxa"/>
            <w:right w:w="108" w:type="dxa"/>
          </w:tblCellMar>
        </w:tblPrEx>
        <w:trPr>
          <w:gridAfter w:val="1"/>
          <w:wAfter w:w="810" w:type="dxa"/>
          <w:trHeight w:val="624" w:hRule="atLeast"/>
        </w:trPr>
        <w:tc>
          <w:tcPr>
            <w:tcW w:w="1799" w:type="dxa"/>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本人承诺</w:t>
            </w:r>
          </w:p>
        </w:tc>
        <w:tc>
          <w:tcPr>
            <w:tcW w:w="7612" w:type="dxa"/>
            <w:gridSpan w:val="7"/>
            <w:vMerge w:val="restart"/>
            <w:tcBorders>
              <w:top w:val="single" w:color="auto" w:sz="4" w:space="0"/>
              <w:left w:val="single" w:color="auto" w:sz="4" w:space="0"/>
              <w:bottom w:val="nil"/>
              <w:right w:val="single" w:color="000000" w:sz="4" w:space="0"/>
            </w:tcBorders>
            <w:vAlign w:val="center"/>
          </w:tcPr>
          <w:p>
            <w:pPr>
              <w:widowControl/>
              <w:ind w:firstLine="480" w:firstLineChars="200"/>
              <w:jc w:val="left"/>
              <w:rPr>
                <w:rFonts w:ascii="Courier New" w:hAnsi="Courier New" w:cs="Courier New"/>
                <w:sz w:val="24"/>
                <w:szCs w:val="24"/>
                <w:highlight w:val="none"/>
              </w:rPr>
            </w:pPr>
            <w:r>
              <w:rPr>
                <w:rFonts w:ascii="Courier New" w:hAnsi="Courier New" w:cs="Courier New"/>
                <w:sz w:val="24"/>
                <w:szCs w:val="24"/>
                <w:highlight w:val="none"/>
              </w:rPr>
              <w:t xml:space="preserve">本人郑重承诺：本人所填写的报名表内容准确无误，提供的材料真实，考试中保证遵守纪律，诚信考试。如弄虚作假，或违反考试纪律，一经查实，取消录用资格，并承担一切后果。                                                                                                       </w:t>
            </w:r>
          </w:p>
        </w:tc>
      </w:tr>
      <w:tr>
        <w:tblPrEx>
          <w:tblCellMar>
            <w:top w:w="15" w:type="dxa"/>
            <w:left w:w="108" w:type="dxa"/>
            <w:bottom w:w="0" w:type="dxa"/>
            <w:right w:w="108" w:type="dxa"/>
          </w:tblCellMar>
        </w:tblPrEx>
        <w:trPr>
          <w:trHeight w:val="69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761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Courier New" w:hAnsi="Courier New" w:cs="Courier New"/>
                <w:sz w:val="24"/>
                <w:szCs w:val="24"/>
                <w:highlight w:val="none"/>
              </w:rPr>
            </w:pPr>
          </w:p>
        </w:tc>
        <w:tc>
          <w:tcPr>
            <w:tcW w:w="810" w:type="dxa"/>
            <w:tcBorders>
              <w:top w:val="nil"/>
              <w:left w:val="nil"/>
              <w:bottom w:val="nil"/>
              <w:right w:val="nil"/>
            </w:tcBorders>
            <w:noWrap/>
            <w:vAlign w:val="center"/>
          </w:tcPr>
          <w:p>
            <w:pPr>
              <w:widowControl/>
              <w:jc w:val="left"/>
              <w:rPr>
                <w:rFonts w:ascii="Courier New" w:hAnsi="Courier New" w:cs="Courier New"/>
                <w:sz w:val="24"/>
                <w:szCs w:val="24"/>
                <w:highlight w:val="none"/>
              </w:rPr>
            </w:pPr>
          </w:p>
        </w:tc>
      </w:tr>
      <w:tr>
        <w:tblPrEx>
          <w:tblCellMar>
            <w:top w:w="15" w:type="dxa"/>
            <w:left w:w="108" w:type="dxa"/>
            <w:bottom w:w="0" w:type="dxa"/>
            <w:right w:w="108" w:type="dxa"/>
          </w:tblCellMar>
        </w:tblPrEx>
        <w:trPr>
          <w:trHeight w:val="41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761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Courier New" w:hAnsi="Courier New" w:cs="Courier New"/>
                <w:sz w:val="24"/>
                <w:szCs w:val="24"/>
                <w:highlight w:val="none"/>
              </w:rPr>
            </w:pPr>
          </w:p>
        </w:tc>
        <w:tc>
          <w:tcPr>
            <w:tcW w:w="810" w:type="dxa"/>
            <w:tcBorders>
              <w:top w:val="nil"/>
              <w:left w:val="nil"/>
              <w:bottom w:val="nil"/>
              <w:right w:val="nil"/>
            </w:tcBorders>
            <w:noWrap/>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1125"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1860" w:type="dxa"/>
            <w:tcBorders>
              <w:top w:val="nil"/>
              <w:left w:val="nil"/>
              <w:bottom w:val="nil"/>
              <w:right w:val="nil"/>
            </w:tcBorders>
          </w:tcPr>
          <w:p>
            <w:pPr>
              <w:widowControl/>
              <w:jc w:val="left"/>
              <w:rPr>
                <w:rFonts w:ascii="宋体" w:hAnsi="宋体" w:cs="宋体"/>
                <w:sz w:val="24"/>
                <w:szCs w:val="24"/>
                <w:highlight w:val="none"/>
              </w:rPr>
            </w:pPr>
            <w:r>
              <w:rPr>
                <w:rFonts w:hint="eastAsia" w:ascii="宋体" w:hAnsi="宋体" w:cs="宋体"/>
                <w:sz w:val="24"/>
                <w:szCs w:val="24"/>
                <w:highlight w:val="none"/>
              </w:rPr>
              <w:t xml:space="preserve">　 </w:t>
            </w:r>
            <w:r>
              <w:rPr>
                <w:rFonts w:ascii="宋体" w:hAnsi="宋体" w:cs="宋体"/>
                <w:sz w:val="24"/>
                <w:szCs w:val="24"/>
                <w:highlight w:val="none"/>
              </w:rPr>
              <w:t xml:space="preserve">                      </w:t>
            </w:r>
          </w:p>
        </w:tc>
        <w:tc>
          <w:tcPr>
            <w:tcW w:w="1075" w:type="dxa"/>
            <w:gridSpan w:val="2"/>
            <w:tcBorders>
              <w:top w:val="nil"/>
              <w:left w:val="nil"/>
              <w:bottom w:val="nil"/>
              <w:right w:val="nil"/>
            </w:tcBorders>
            <w:noWrap/>
            <w:vAlign w:val="center"/>
          </w:tcPr>
          <w:p>
            <w:pPr>
              <w:widowControl/>
              <w:jc w:val="both"/>
              <w:rPr>
                <w:rFonts w:ascii="Courier New" w:hAnsi="Courier New" w:cs="Courier New"/>
                <w:sz w:val="24"/>
                <w:szCs w:val="24"/>
                <w:highlight w:val="none"/>
              </w:rPr>
            </w:pPr>
            <w:r>
              <w:rPr>
                <w:rFonts w:hint="eastAsia" w:ascii="Courier New" w:hAnsi="Courier New" w:cs="Courier New"/>
                <w:sz w:val="24"/>
                <w:szCs w:val="24"/>
                <w:highlight w:val="none"/>
              </w:rPr>
              <w:t xml:space="preserve"> </w:t>
            </w:r>
            <w:r>
              <w:rPr>
                <w:rFonts w:ascii="Courier New" w:hAnsi="Courier New" w:cs="Courier New"/>
                <w:sz w:val="24"/>
                <w:szCs w:val="24"/>
                <w:highlight w:val="none"/>
              </w:rPr>
              <w:t xml:space="preserve">          </w:t>
            </w:r>
          </w:p>
        </w:tc>
        <w:tc>
          <w:tcPr>
            <w:tcW w:w="1984" w:type="dxa"/>
            <w:tcBorders>
              <w:top w:val="nil"/>
              <w:left w:val="nil"/>
              <w:bottom w:val="nil"/>
              <w:right w:val="nil"/>
            </w:tcBorders>
          </w:tcPr>
          <w:p>
            <w:pPr>
              <w:widowControl/>
              <w:jc w:val="center"/>
              <w:rPr>
                <w:rFonts w:ascii="Courier New" w:hAnsi="Courier New" w:cs="Courier New"/>
                <w:sz w:val="24"/>
                <w:szCs w:val="24"/>
                <w:highlight w:val="none"/>
              </w:rPr>
            </w:pPr>
            <w:r>
              <w:rPr>
                <w:rFonts w:ascii="Courier New" w:hAnsi="Courier New" w:cs="Courier New"/>
                <w:sz w:val="24"/>
                <w:szCs w:val="24"/>
                <w:highlight w:val="none"/>
              </w:rPr>
              <w:t>本人签字：</w:t>
            </w:r>
          </w:p>
        </w:tc>
        <w:tc>
          <w:tcPr>
            <w:tcW w:w="1418" w:type="dxa"/>
            <w:gridSpan w:val="2"/>
            <w:tcBorders>
              <w:top w:val="nil"/>
              <w:left w:val="nil"/>
              <w:bottom w:val="nil"/>
              <w:right w:val="nil"/>
            </w:tcBorders>
          </w:tcPr>
          <w:p>
            <w:pPr>
              <w:widowControl/>
              <w:jc w:val="left"/>
              <w:rPr>
                <w:rFonts w:eastAsia="Times New Roman"/>
                <w:highlight w:val="none"/>
              </w:rPr>
            </w:pPr>
          </w:p>
        </w:tc>
        <w:tc>
          <w:tcPr>
            <w:tcW w:w="1275" w:type="dxa"/>
            <w:tcBorders>
              <w:top w:val="nil"/>
              <w:left w:val="nil"/>
              <w:bottom w:val="nil"/>
              <w:right w:val="single" w:color="auto" w:sz="4" w:space="0"/>
            </w:tcBorders>
          </w:tcPr>
          <w:p>
            <w:pPr>
              <w:widowControl/>
              <w:jc w:val="left"/>
              <w:rPr>
                <w:rFonts w:ascii="宋体" w:hAnsi="宋体" w:cs="宋体"/>
                <w:sz w:val="24"/>
                <w:szCs w:val="24"/>
                <w:highlight w:val="none"/>
              </w:rPr>
            </w:pPr>
          </w:p>
        </w:tc>
        <w:tc>
          <w:tcPr>
            <w:tcW w:w="810" w:type="dxa"/>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9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1860" w:type="dxa"/>
            <w:tcBorders>
              <w:top w:val="nil"/>
              <w:left w:val="nil"/>
              <w:bottom w:val="nil"/>
              <w:right w:val="nil"/>
            </w:tcBorders>
            <w:noWrap/>
            <w:vAlign w:val="center"/>
          </w:tcPr>
          <w:p>
            <w:pPr>
              <w:widowControl/>
              <w:jc w:val="left"/>
              <w:rPr>
                <w:rFonts w:ascii="宋体" w:hAnsi="宋体" w:cs="宋体"/>
                <w:sz w:val="24"/>
                <w:szCs w:val="24"/>
                <w:highlight w:val="none"/>
              </w:rPr>
            </w:pPr>
          </w:p>
        </w:tc>
        <w:tc>
          <w:tcPr>
            <w:tcW w:w="1075" w:type="dxa"/>
            <w:gridSpan w:val="2"/>
            <w:tcBorders>
              <w:top w:val="nil"/>
              <w:left w:val="nil"/>
              <w:bottom w:val="single" w:color="auto" w:sz="4" w:space="0"/>
              <w:right w:val="nil"/>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w:t>
            </w:r>
          </w:p>
        </w:tc>
        <w:tc>
          <w:tcPr>
            <w:tcW w:w="4677" w:type="dxa"/>
            <w:gridSpan w:val="4"/>
            <w:tcBorders>
              <w:top w:val="nil"/>
              <w:left w:val="nil"/>
              <w:bottom w:val="single" w:color="auto" w:sz="4" w:space="0"/>
              <w:right w:val="single" w:color="000000" w:sz="4" w:space="0"/>
            </w:tcBorders>
            <w:noWrap/>
            <w:vAlign w:val="center"/>
          </w:tcPr>
          <w:p>
            <w:pPr>
              <w:widowControl/>
              <w:ind w:firstLine="960" w:firstLineChars="400"/>
              <w:jc w:val="both"/>
              <w:rPr>
                <w:rFonts w:ascii="宋体" w:hAnsi="宋体" w:cs="宋体"/>
                <w:sz w:val="24"/>
                <w:szCs w:val="24"/>
                <w:highlight w:val="none"/>
              </w:rPr>
            </w:pPr>
            <w:r>
              <w:rPr>
                <w:rFonts w:hint="eastAsia" w:ascii="宋体" w:hAnsi="宋体" w:cs="宋体"/>
                <w:sz w:val="24"/>
                <w:szCs w:val="24"/>
                <w:highlight w:val="none"/>
              </w:rPr>
              <w:t xml:space="preserve">           年    月    日 </w:t>
            </w:r>
          </w:p>
        </w:tc>
        <w:tc>
          <w:tcPr>
            <w:tcW w:w="810" w:type="dxa"/>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690" w:hRule="atLeast"/>
        </w:trPr>
        <w:tc>
          <w:tcPr>
            <w:tcW w:w="1799" w:type="dxa"/>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备 注</w:t>
            </w:r>
          </w:p>
        </w:tc>
        <w:tc>
          <w:tcPr>
            <w:tcW w:w="7612" w:type="dxa"/>
            <w:gridSpan w:val="7"/>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 xml:space="preserve"> </w:t>
            </w:r>
          </w:p>
        </w:tc>
        <w:tc>
          <w:tcPr>
            <w:tcW w:w="810" w:type="dxa"/>
            <w:vAlign w:val="center"/>
          </w:tcPr>
          <w:p>
            <w:pPr>
              <w:widowControl/>
              <w:jc w:val="left"/>
              <w:rPr>
                <w:rFonts w:eastAsia="Times New Roman"/>
                <w:highlight w:val="none"/>
              </w:rPr>
            </w:pPr>
          </w:p>
        </w:tc>
      </w:tr>
      <w:tr>
        <w:tblPrEx>
          <w:tblCellMar>
            <w:top w:w="15" w:type="dxa"/>
            <w:left w:w="108" w:type="dxa"/>
            <w:bottom w:w="0" w:type="dxa"/>
            <w:right w:w="108" w:type="dxa"/>
          </w:tblCellMar>
        </w:tblPrEx>
        <w:trPr>
          <w:trHeight w:val="1240" w:hRule="atLeast"/>
        </w:trPr>
        <w:tc>
          <w:tcPr>
            <w:tcW w:w="1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4"/>
                <w:szCs w:val="24"/>
                <w:highlight w:val="none"/>
              </w:rPr>
            </w:pPr>
          </w:p>
        </w:tc>
        <w:tc>
          <w:tcPr>
            <w:tcW w:w="761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highlight w:val="none"/>
              </w:rPr>
            </w:pPr>
          </w:p>
        </w:tc>
        <w:tc>
          <w:tcPr>
            <w:tcW w:w="810" w:type="dxa"/>
            <w:tcBorders>
              <w:top w:val="nil"/>
              <w:left w:val="nil"/>
              <w:bottom w:val="nil"/>
              <w:right w:val="nil"/>
            </w:tcBorders>
            <w:noWrap/>
            <w:vAlign w:val="center"/>
          </w:tcPr>
          <w:p>
            <w:pPr>
              <w:widowControl/>
              <w:jc w:val="center"/>
              <w:rPr>
                <w:rFonts w:ascii="宋体" w:hAnsi="宋体" w:cs="宋体"/>
                <w:sz w:val="24"/>
                <w:szCs w:val="24"/>
                <w:highlight w:val="none"/>
              </w:rPr>
            </w:pPr>
          </w:p>
        </w:tc>
      </w:tr>
    </w:tbl>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r>
        <w:rPr>
          <w:rFonts w:hint="eastAsia" w:ascii="仿宋" w:hAnsi="仿宋" w:eastAsia="仿宋"/>
          <w:color w:val="000000"/>
          <w:sz w:val="32"/>
          <w:highlight w:val="none"/>
          <w:lang w:val="en-US" w:eastAsia="zh-CN"/>
        </w:rPr>
        <w:t>附件1</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sectPr>
          <w:footerReference r:id="rId3" w:type="default"/>
          <w:pgSz w:w="11906" w:h="16838"/>
          <w:pgMar w:top="1383" w:right="1800" w:bottom="1383" w:left="1800" w:header="851" w:footer="992" w:gutter="0"/>
          <w:pgNumType w:fmt="decimal"/>
          <w:cols w:space="425" w:num="1"/>
          <w:docGrid w:type="lines" w:linePitch="312" w:charSpace="0"/>
        </w:sectPr>
      </w:pPr>
    </w:p>
    <w:p>
      <w:pPr>
        <w:spacing w:line="720" w:lineRule="auto"/>
        <w:jc w:val="left"/>
        <w:rPr>
          <w:rFonts w:hint="default" w:ascii="宋体" w:hAnsi="宋体" w:eastAsia="宋体" w:cs="宋体"/>
          <w:b/>
          <w:bCs/>
          <w:sz w:val="36"/>
          <w:szCs w:val="44"/>
          <w:lang w:val="en-US" w:eastAsia="zh-CN"/>
        </w:rPr>
      </w:pPr>
      <w:r>
        <w:rPr>
          <w:rFonts w:hint="eastAsia" w:ascii="宋体" w:hAnsi="宋体" w:cs="宋体"/>
          <w:b/>
          <w:bCs/>
          <w:sz w:val="36"/>
          <w:szCs w:val="44"/>
          <w:lang w:val="en-US" w:eastAsia="zh-CN"/>
        </w:rPr>
        <w:t>附件2</w:t>
      </w:r>
    </w:p>
    <w:p>
      <w:pPr>
        <w:spacing w:line="720" w:lineRule="auto"/>
        <w:jc w:val="center"/>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网络招聘个人诚信承诺书</w:t>
      </w:r>
    </w:p>
    <w:p>
      <w:pPr>
        <w:spacing w:line="720" w:lineRule="auto"/>
        <w:ind w:firstLine="640" w:firstLineChars="200"/>
        <w:rPr>
          <w:rFonts w:hint="eastAsia"/>
          <w:sz w:val="32"/>
          <w:szCs w:val="40"/>
          <w:lang w:val="en-US" w:eastAsia="zh-CN"/>
        </w:rPr>
      </w:pPr>
      <w:r>
        <w:rPr>
          <w:rFonts w:hint="eastAsia"/>
          <w:sz w:val="32"/>
          <w:szCs w:val="40"/>
          <w:lang w:val="en-US" w:eastAsia="zh-CN"/>
        </w:rPr>
        <w:t>本人        申请参与本溪市高级中学附属学校网络招聘。保证独立空间，通过腾讯视频会议方式面试</w:t>
      </w:r>
      <w:r>
        <w:rPr>
          <w:rFonts w:hint="eastAsia"/>
          <w:sz w:val="32"/>
          <w:szCs w:val="40"/>
        </w:rPr>
        <w:t>，</w:t>
      </w:r>
      <w:r>
        <w:rPr>
          <w:rFonts w:hint="eastAsia"/>
          <w:sz w:val="32"/>
          <w:szCs w:val="40"/>
          <w:lang w:val="en-US" w:eastAsia="zh-CN"/>
        </w:rPr>
        <w:t>保证无人员围观、无人员协助，不使用其他通讯电子设备辅助。面试过程真实、透明。如有违反，面试成绩按0分处理。</w:t>
      </w:r>
    </w:p>
    <w:p>
      <w:pPr>
        <w:spacing w:line="720" w:lineRule="auto"/>
        <w:jc w:val="right"/>
        <w:rPr>
          <w:rFonts w:hint="eastAsia"/>
          <w:sz w:val="32"/>
          <w:szCs w:val="40"/>
          <w:lang w:val="en-US" w:eastAsia="zh-CN"/>
        </w:rPr>
      </w:pPr>
      <w:r>
        <w:rPr>
          <w:rFonts w:hint="eastAsia"/>
          <w:sz w:val="32"/>
          <w:szCs w:val="40"/>
          <w:lang w:val="en-US" w:eastAsia="zh-CN"/>
        </w:rPr>
        <w:t>承诺人：         （手签）</w:t>
      </w:r>
    </w:p>
    <w:p>
      <w:pPr>
        <w:spacing w:line="720" w:lineRule="auto"/>
        <w:jc w:val="right"/>
        <w:rPr>
          <w:rFonts w:hint="default"/>
          <w:sz w:val="32"/>
          <w:szCs w:val="40"/>
          <w:lang w:val="en-US" w:eastAsia="zh-CN"/>
        </w:rPr>
      </w:pPr>
      <w:r>
        <w:rPr>
          <w:rFonts w:hint="eastAsia"/>
          <w:sz w:val="32"/>
          <w:szCs w:val="40"/>
          <w:lang w:val="en-US" w:eastAsia="zh-CN"/>
        </w:rPr>
        <w:t>年   月   日</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jc w:val="both"/>
        <w:rPr>
          <w:rFonts w:hint="eastAsia" w:ascii="仿宋" w:hAnsi="仿宋" w:eastAsia="仿宋" w:cs="仿宋"/>
          <w:b/>
          <w:sz w:val="32"/>
          <w:szCs w:val="32"/>
          <w:lang w:eastAsia="zh-CN"/>
        </w:rPr>
      </w:pPr>
      <w:r>
        <w:rPr>
          <w:rFonts w:hint="eastAsia" w:ascii="仿宋" w:hAnsi="仿宋" w:eastAsia="仿宋" w:cs="仿宋"/>
          <w:b/>
          <w:sz w:val="32"/>
          <w:szCs w:val="32"/>
          <w:lang w:eastAsia="zh-CN"/>
        </w:rPr>
        <w:t>附件</w:t>
      </w:r>
      <w:r>
        <w:rPr>
          <w:rFonts w:hint="eastAsia" w:ascii="仿宋" w:hAnsi="仿宋" w:eastAsia="仿宋" w:cs="仿宋"/>
          <w:b/>
          <w:sz w:val="32"/>
          <w:szCs w:val="32"/>
          <w:lang w:val="en-US" w:eastAsia="zh-CN"/>
        </w:rPr>
        <w:t>3.</w:t>
      </w:r>
    </w:p>
    <w:p>
      <w:pPr>
        <w:jc w:val="center"/>
        <w:rPr>
          <w:rFonts w:hint="eastAsia"/>
          <w:b/>
          <w:sz w:val="44"/>
          <w:szCs w:val="44"/>
        </w:rPr>
      </w:pPr>
      <w:r>
        <w:rPr>
          <w:rFonts w:hint="eastAsia"/>
          <w:b/>
          <w:sz w:val="44"/>
          <w:szCs w:val="44"/>
        </w:rPr>
        <w:t xml:space="preserve">应届毕业生和择业期内尚未落实工作单位的高校毕业生承诺书      </w:t>
      </w:r>
    </w:p>
    <w:p>
      <w:pPr>
        <w:jc w:val="center"/>
        <w:rPr>
          <w:rFonts w:hint="eastAsia"/>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w:t>
      </w:r>
      <w:r>
        <w:rPr>
          <w:rFonts w:hint="eastAsia" w:ascii="仿宋_GB2312" w:hAnsi="仿宋" w:eastAsia="仿宋_GB2312"/>
          <w:sz w:val="32"/>
          <w:szCs w:val="32"/>
          <w:lang w:eastAsia="zh-CN"/>
        </w:rPr>
        <w:t>及就业</w:t>
      </w:r>
      <w:r>
        <w:rPr>
          <w:rFonts w:hint="eastAsia" w:ascii="仿宋_GB2312" w:hAnsi="仿宋" w:eastAsia="仿宋_GB2312"/>
          <w:sz w:val="32"/>
          <w:szCs w:val="32"/>
        </w:rPr>
        <w:t>全过程，一经发现应聘人员不符合报考岗位要求或弄虚作假的，随时取消其考试和应聘资格。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承诺人签字：</w:t>
      </w:r>
    </w:p>
    <w:p>
      <w:pP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r>
        <w:rPr>
          <w:rFonts w:hint="eastAsia" w:ascii="仿宋" w:hAnsi="仿宋" w:eastAsia="仿宋"/>
          <w:szCs w:val="21"/>
        </w:rPr>
        <w:t>说明：</w:t>
      </w:r>
    </w:p>
    <w:p>
      <w:pPr>
        <w:ind w:firstLine="640" w:firstLineChars="200"/>
        <w:rPr>
          <w:rFonts w:ascii="仿宋" w:hAnsi="仿宋" w:eastAsia="仿宋"/>
          <w:sz w:val="32"/>
          <w:szCs w:val="32"/>
        </w:rPr>
      </w:pPr>
      <w:r>
        <w:rPr>
          <w:rFonts w:hint="eastAsia" w:ascii="仿宋" w:hAnsi="仿宋" w:eastAsia="仿宋"/>
          <w:sz w:val="32"/>
          <w:szCs w:val="32"/>
        </w:rPr>
        <w:t>1.请下载本文档并使用</w:t>
      </w:r>
      <w:r>
        <w:rPr>
          <w:rFonts w:ascii="仿宋" w:hAnsi="仿宋" w:eastAsia="仿宋"/>
          <w:sz w:val="32"/>
          <w:szCs w:val="32"/>
        </w:rPr>
        <w:t xml:space="preserve"> A4 白纸打印。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2.对考生未就业信息，招聘单位还将通过社保缴费系统进行查询证明。</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ascii="仿宋" w:hAnsi="仿宋" w:eastAsia="仿宋"/>
          <w:sz w:val="32"/>
          <w:szCs w:val="32"/>
        </w:rPr>
        <w:t>本承诺书将用于</w:t>
      </w:r>
      <w:r>
        <w:rPr>
          <w:rFonts w:hint="eastAsia" w:ascii="仿宋" w:hAnsi="仿宋" w:eastAsia="仿宋"/>
          <w:sz w:val="32"/>
          <w:szCs w:val="32"/>
          <w:lang w:eastAsia="zh-CN"/>
        </w:rPr>
        <w:t>本溪市</w:t>
      </w:r>
      <w:r>
        <w:rPr>
          <w:rFonts w:hint="eastAsia" w:ascii="仿宋" w:hAnsi="仿宋" w:eastAsia="仿宋"/>
          <w:sz w:val="32"/>
          <w:szCs w:val="32"/>
          <w:lang w:val="en-US" w:eastAsia="zh-CN"/>
        </w:rPr>
        <w:t>高级中学附属学校</w:t>
      </w:r>
      <w:r>
        <w:rPr>
          <w:rFonts w:hint="eastAsia" w:ascii="仿宋" w:hAnsi="仿宋" w:eastAsia="仿宋"/>
          <w:sz w:val="32"/>
          <w:szCs w:val="32"/>
        </w:rPr>
        <w:t>面向</w:t>
      </w:r>
      <w:r>
        <w:rPr>
          <w:rFonts w:hint="eastAsia" w:ascii="仿宋" w:hAnsi="仿宋" w:eastAsia="仿宋"/>
          <w:sz w:val="32"/>
          <w:szCs w:val="32"/>
          <w:lang w:val="en-US" w:eastAsia="zh-CN"/>
        </w:rPr>
        <w:t>高校</w:t>
      </w:r>
      <w:r>
        <w:rPr>
          <w:rFonts w:hint="eastAsia" w:ascii="仿宋" w:hAnsi="仿宋" w:eastAsia="仿宋"/>
          <w:sz w:val="32"/>
          <w:szCs w:val="32"/>
        </w:rPr>
        <w:t>公开招聘教师资格审查，请在“承诺人”处正楷书写签署本人姓名，并在“年</w:t>
      </w:r>
      <w:r>
        <w:rPr>
          <w:rFonts w:ascii="仿宋" w:hAnsi="仿宋" w:eastAsia="仿宋"/>
          <w:sz w:val="32"/>
          <w:szCs w:val="32"/>
        </w:rPr>
        <w:t xml:space="preserve"> 月 日”处填写签字时间</w:t>
      </w:r>
      <w:r>
        <w:rPr>
          <w:rFonts w:hint="eastAsia" w:ascii="仿宋" w:hAnsi="仿宋" w:eastAsia="仿宋"/>
          <w:sz w:val="32"/>
          <w:szCs w:val="32"/>
        </w:rPr>
        <w:t>。网上报名时，请</w:t>
      </w:r>
      <w:r>
        <w:rPr>
          <w:rFonts w:ascii="仿宋" w:hAnsi="仿宋" w:eastAsia="仿宋"/>
          <w:sz w:val="32"/>
          <w:szCs w:val="32"/>
        </w:rPr>
        <w:t>将纸张竖版、正面、整体清晰拍照</w:t>
      </w:r>
      <w:r>
        <w:rPr>
          <w:rFonts w:hint="eastAsia" w:ascii="仿宋" w:hAnsi="仿宋" w:eastAsia="仿宋"/>
          <w:sz w:val="32"/>
          <w:szCs w:val="32"/>
        </w:rPr>
        <w:t>上传,JPG格式，大小在100KB以下。</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5EB60"/>
    <w:multiLevelType w:val="singleLevel"/>
    <w:tmpl w:val="9865EB60"/>
    <w:lvl w:ilvl="0" w:tentative="0">
      <w:start w:val="1"/>
      <w:numFmt w:val="chineseCounting"/>
      <w:suff w:val="nothing"/>
      <w:lvlText w:val="（%1）"/>
      <w:lvlJc w:val="left"/>
      <w:rPr>
        <w:rFonts w:hint="eastAsia"/>
      </w:rPr>
    </w:lvl>
  </w:abstractNum>
  <w:abstractNum w:abstractNumId="1">
    <w:nsid w:val="38D21E89"/>
    <w:multiLevelType w:val="singleLevel"/>
    <w:tmpl w:val="38D21E89"/>
    <w:lvl w:ilvl="0" w:tentative="0">
      <w:start w:val="2"/>
      <w:numFmt w:val="chineseCounting"/>
      <w:suff w:val="nothing"/>
      <w:lvlText w:val="%1、"/>
      <w:lvlJc w:val="left"/>
      <w:rPr>
        <w:rFonts w:hint="eastAsia"/>
      </w:rPr>
    </w:lvl>
  </w:abstractNum>
  <w:abstractNum w:abstractNumId="2">
    <w:nsid w:val="66B1459E"/>
    <w:multiLevelType w:val="singleLevel"/>
    <w:tmpl w:val="66B1459E"/>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7223B"/>
    <w:rsid w:val="006F6A57"/>
    <w:rsid w:val="00AA2012"/>
    <w:rsid w:val="00B04AB0"/>
    <w:rsid w:val="019B4798"/>
    <w:rsid w:val="01E814BD"/>
    <w:rsid w:val="01FB0F5B"/>
    <w:rsid w:val="02C77397"/>
    <w:rsid w:val="0329558F"/>
    <w:rsid w:val="03A52548"/>
    <w:rsid w:val="04DD2454"/>
    <w:rsid w:val="054C5A8B"/>
    <w:rsid w:val="05792E1E"/>
    <w:rsid w:val="0646518D"/>
    <w:rsid w:val="067A4472"/>
    <w:rsid w:val="074E616D"/>
    <w:rsid w:val="085429F5"/>
    <w:rsid w:val="08915791"/>
    <w:rsid w:val="08A4594E"/>
    <w:rsid w:val="092823CA"/>
    <w:rsid w:val="0A646834"/>
    <w:rsid w:val="0BB236E5"/>
    <w:rsid w:val="0CD0588F"/>
    <w:rsid w:val="0EC26D08"/>
    <w:rsid w:val="0F8C5B49"/>
    <w:rsid w:val="0FA47C8D"/>
    <w:rsid w:val="10095A31"/>
    <w:rsid w:val="10142CB4"/>
    <w:rsid w:val="10407DBE"/>
    <w:rsid w:val="116D0D94"/>
    <w:rsid w:val="12056B99"/>
    <w:rsid w:val="1279293C"/>
    <w:rsid w:val="12DF6AB1"/>
    <w:rsid w:val="13071BEB"/>
    <w:rsid w:val="137E5E0D"/>
    <w:rsid w:val="14E35335"/>
    <w:rsid w:val="17171557"/>
    <w:rsid w:val="1A782E6B"/>
    <w:rsid w:val="1A9253F4"/>
    <w:rsid w:val="1DC72334"/>
    <w:rsid w:val="1E6472C9"/>
    <w:rsid w:val="1E857561"/>
    <w:rsid w:val="1F1116AC"/>
    <w:rsid w:val="223746C2"/>
    <w:rsid w:val="22632681"/>
    <w:rsid w:val="237D7C18"/>
    <w:rsid w:val="247A6C50"/>
    <w:rsid w:val="24D32CED"/>
    <w:rsid w:val="26755D8F"/>
    <w:rsid w:val="26F2413B"/>
    <w:rsid w:val="286D1F66"/>
    <w:rsid w:val="28A432AC"/>
    <w:rsid w:val="28F74136"/>
    <w:rsid w:val="293F0D43"/>
    <w:rsid w:val="29B54F61"/>
    <w:rsid w:val="2C0E462B"/>
    <w:rsid w:val="2CB42FD9"/>
    <w:rsid w:val="2DF15BC2"/>
    <w:rsid w:val="2E054845"/>
    <w:rsid w:val="2E5470BA"/>
    <w:rsid w:val="2FFF758F"/>
    <w:rsid w:val="30380A96"/>
    <w:rsid w:val="30416C27"/>
    <w:rsid w:val="306B16B9"/>
    <w:rsid w:val="30B400A2"/>
    <w:rsid w:val="327E16AF"/>
    <w:rsid w:val="33881655"/>
    <w:rsid w:val="343308BA"/>
    <w:rsid w:val="34554F33"/>
    <w:rsid w:val="3472077F"/>
    <w:rsid w:val="34727975"/>
    <w:rsid w:val="358B243E"/>
    <w:rsid w:val="35A81998"/>
    <w:rsid w:val="35F71E60"/>
    <w:rsid w:val="36435A6D"/>
    <w:rsid w:val="36F11E9E"/>
    <w:rsid w:val="373036ED"/>
    <w:rsid w:val="378961CE"/>
    <w:rsid w:val="38630E05"/>
    <w:rsid w:val="39645CAC"/>
    <w:rsid w:val="39736509"/>
    <w:rsid w:val="3C963D40"/>
    <w:rsid w:val="3D4C0F71"/>
    <w:rsid w:val="3E037956"/>
    <w:rsid w:val="3EF70921"/>
    <w:rsid w:val="407E119A"/>
    <w:rsid w:val="40C4124A"/>
    <w:rsid w:val="40F456BA"/>
    <w:rsid w:val="4124789D"/>
    <w:rsid w:val="41404EB9"/>
    <w:rsid w:val="42044316"/>
    <w:rsid w:val="42FB7D0F"/>
    <w:rsid w:val="43401ADE"/>
    <w:rsid w:val="44FC5385"/>
    <w:rsid w:val="461C71D3"/>
    <w:rsid w:val="461F40CC"/>
    <w:rsid w:val="46286A31"/>
    <w:rsid w:val="47B952EE"/>
    <w:rsid w:val="496B6288"/>
    <w:rsid w:val="4B27483A"/>
    <w:rsid w:val="4D9B7832"/>
    <w:rsid w:val="4E9B6B35"/>
    <w:rsid w:val="4F1F5B5E"/>
    <w:rsid w:val="4FF24335"/>
    <w:rsid w:val="502E17A1"/>
    <w:rsid w:val="504B39FD"/>
    <w:rsid w:val="5068723D"/>
    <w:rsid w:val="506F03B9"/>
    <w:rsid w:val="50B816E6"/>
    <w:rsid w:val="50EE5B76"/>
    <w:rsid w:val="50EF4764"/>
    <w:rsid w:val="51190CF8"/>
    <w:rsid w:val="51201D56"/>
    <w:rsid w:val="51484E5C"/>
    <w:rsid w:val="5150612E"/>
    <w:rsid w:val="520D5E56"/>
    <w:rsid w:val="52880573"/>
    <w:rsid w:val="528B76FE"/>
    <w:rsid w:val="53D17D1A"/>
    <w:rsid w:val="54B74C77"/>
    <w:rsid w:val="55547B9E"/>
    <w:rsid w:val="55F3178F"/>
    <w:rsid w:val="5612303A"/>
    <w:rsid w:val="5760595C"/>
    <w:rsid w:val="57622A2C"/>
    <w:rsid w:val="598C2AF8"/>
    <w:rsid w:val="5A57213F"/>
    <w:rsid w:val="5A651093"/>
    <w:rsid w:val="5C37223B"/>
    <w:rsid w:val="5CC440B0"/>
    <w:rsid w:val="5E4F6116"/>
    <w:rsid w:val="5F6608BA"/>
    <w:rsid w:val="604D295B"/>
    <w:rsid w:val="60B25FB7"/>
    <w:rsid w:val="60F12A40"/>
    <w:rsid w:val="61A860E0"/>
    <w:rsid w:val="62A4323C"/>
    <w:rsid w:val="62F21143"/>
    <w:rsid w:val="635E5574"/>
    <w:rsid w:val="6389487B"/>
    <w:rsid w:val="64E919FB"/>
    <w:rsid w:val="650A5824"/>
    <w:rsid w:val="65F82155"/>
    <w:rsid w:val="664E4A38"/>
    <w:rsid w:val="66FD1448"/>
    <w:rsid w:val="67C52072"/>
    <w:rsid w:val="67F7150E"/>
    <w:rsid w:val="688C2F5F"/>
    <w:rsid w:val="6BB3029C"/>
    <w:rsid w:val="6C337C62"/>
    <w:rsid w:val="6C5240F4"/>
    <w:rsid w:val="6CCE7D4C"/>
    <w:rsid w:val="6D4726A2"/>
    <w:rsid w:val="6DE56B31"/>
    <w:rsid w:val="6DF50C16"/>
    <w:rsid w:val="6EDA3FF8"/>
    <w:rsid w:val="71432D00"/>
    <w:rsid w:val="715D357E"/>
    <w:rsid w:val="717536BC"/>
    <w:rsid w:val="71AB757E"/>
    <w:rsid w:val="724002FE"/>
    <w:rsid w:val="72A2105F"/>
    <w:rsid w:val="72F031D6"/>
    <w:rsid w:val="759930A9"/>
    <w:rsid w:val="75D71E36"/>
    <w:rsid w:val="76B81677"/>
    <w:rsid w:val="770A260F"/>
    <w:rsid w:val="77D12D28"/>
    <w:rsid w:val="77E01421"/>
    <w:rsid w:val="792A3202"/>
    <w:rsid w:val="7A04468D"/>
    <w:rsid w:val="7A2836FE"/>
    <w:rsid w:val="7B041C48"/>
    <w:rsid w:val="7B3E1505"/>
    <w:rsid w:val="7BFB4C2B"/>
    <w:rsid w:val="7C182998"/>
    <w:rsid w:val="7D2A2E48"/>
    <w:rsid w:val="7D715FE9"/>
    <w:rsid w:val="7EB119C6"/>
    <w:rsid w:val="7FEA3E31"/>
    <w:rsid w:val="7FF7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539</Words>
  <Characters>3073</Characters>
  <Lines>25</Lines>
  <Paragraphs>7</Paragraphs>
  <TotalTime>1</TotalTime>
  <ScaleCrop>false</ScaleCrop>
  <LinksUpToDate>false</LinksUpToDate>
  <CharactersWithSpaces>3605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2020-10-16T00:53:00Z</dcterms:created>
  <dc:creator>Administrator</dc:creator>
  <cp:lastModifiedBy>Administrator</cp:lastModifiedBy>
  <cp:lastPrinted>2022-02-28T04:51:00Z</cp:lastPrinted>
  <dcterms:modified xsi:type="dcterms:W3CDTF">2022-03-03T01:14:47Z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7421417CFCFA42619D05177639AEA3D7</vt:lpwstr>
  </property>
</Properties>
</file>