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梧州职业学院202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年面向社会直接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招聘实名制工作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量化评分细则</w:t>
      </w:r>
    </w:p>
    <w:p>
      <w:pPr>
        <w:widowControl/>
        <w:shd w:val="clear" w:color="auto" w:fill="FFFFFF"/>
        <w:snapToGrid w:val="0"/>
        <w:spacing w:line="360" w:lineRule="auto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eastAsia="仿宋" w:cs="宋体"/>
          <w:b/>
          <w:bCs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梧州职业学院招聘量化评分，总分为</w:t>
      </w:r>
      <w:r>
        <w:rPr>
          <w:rFonts w:ascii="仿宋" w:hAnsi="仿宋" w:eastAsia="仿宋" w:cs="宋体"/>
          <w:kern w:val="0"/>
          <w:sz w:val="32"/>
          <w:szCs w:val="32"/>
        </w:rPr>
        <w:t>100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分，其中分为资历（任职年限、学历、职务等）和业绩，计分时</w:t>
      </w:r>
      <w:r>
        <w:rPr>
          <w:rFonts w:hint="eastAsia" w:ascii="仿宋" w:hAnsi="仿宋" w:eastAsia="仿宋"/>
          <w:sz w:val="32"/>
          <w:szCs w:val="32"/>
        </w:rPr>
        <w:t>保留小数点后两位数。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idowControl/>
        <w:shd w:val="clear" w:color="auto" w:fill="FFFFFF"/>
        <w:snapToGrid w:val="0"/>
        <w:spacing w:line="360" w:lineRule="auto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一、资历分（</w:t>
      </w:r>
      <w:r>
        <w:rPr>
          <w:rFonts w:ascii="仿宋" w:hAnsi="仿宋" w:eastAsia="仿宋" w:cs="宋体"/>
          <w:b/>
          <w:kern w:val="0"/>
          <w:sz w:val="32"/>
          <w:szCs w:val="32"/>
        </w:rPr>
        <w:t>58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firstLine="641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任专业技术职务年限：（</w:t>
      </w:r>
      <w:r>
        <w:rPr>
          <w:rFonts w:hint="eastAsia" w:ascii="仿宋" w:hAnsi="仿宋" w:eastAsia="仿宋"/>
          <w:b/>
          <w:bCs/>
          <w:sz w:val="32"/>
          <w:szCs w:val="32"/>
        </w:rPr>
        <w:t>满分为30分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napToGrid w:val="0"/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取得副高及以上专业技术职务资格证为准，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此项分为基础分和加分两部分：</w:t>
      </w:r>
      <w:r>
        <w:rPr>
          <w:rFonts w:ascii="仿宋" w:hAnsi="仿宋" w:eastAsia="仿宋"/>
          <w:sz w:val="32"/>
          <w:szCs w:val="32"/>
        </w:rPr>
        <w:t xml:space="preserve"> </w:t>
      </w:r>
    </w:p>
    <w:tbl>
      <w:tblPr>
        <w:tblStyle w:val="7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6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7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6334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副高级以上职称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47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基础分</w:t>
            </w:r>
          </w:p>
        </w:tc>
        <w:tc>
          <w:tcPr>
            <w:tcW w:w="6334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7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加分项</w:t>
            </w:r>
          </w:p>
        </w:tc>
        <w:tc>
          <w:tcPr>
            <w:tcW w:w="6334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每年得</w:t>
            </w:r>
            <w:r>
              <w:rPr>
                <w:rFonts w:hint="eastAsia" w:ascii="仿宋" w:hAnsi="仿宋" w:eastAsia="仿宋"/>
                <w:sz w:val="32"/>
                <w:szCs w:val="32"/>
                <w:u w:val="single" w:color="FFFFFF"/>
              </w:rPr>
              <w:t>1分</w:t>
            </w:r>
            <w:r>
              <w:rPr>
                <w:rFonts w:ascii="仿宋" w:hAnsi="仿宋" w:eastAsia="仿宋"/>
                <w:sz w:val="32"/>
                <w:szCs w:val="32"/>
                <w:u w:val="single" w:color="FFFFFF"/>
              </w:rPr>
              <w:t>(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尾数</w:t>
            </w:r>
            <w:r>
              <w:rPr>
                <w:rFonts w:ascii="仿宋" w:hAnsi="仿宋" w:eastAsia="仿宋"/>
                <w:sz w:val="32"/>
                <w:szCs w:val="32"/>
              </w:rPr>
              <w:t>1—6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个月为</w:t>
            </w:r>
            <w:r>
              <w:rPr>
                <w:rFonts w:ascii="仿宋" w:hAnsi="仿宋" w:eastAsia="仿宋"/>
                <w:sz w:val="32"/>
                <w:szCs w:val="32"/>
                <w:u w:val="single" w:color="FFFFFF"/>
              </w:rPr>
              <w:t>0.</w:t>
            </w:r>
            <w:r>
              <w:rPr>
                <w:rFonts w:hint="eastAsia" w:ascii="仿宋" w:hAnsi="仿宋" w:eastAsia="仿宋"/>
                <w:sz w:val="32"/>
                <w:szCs w:val="32"/>
                <w:u w:val="single" w:color="FFFFFF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分，</w:t>
            </w:r>
            <w:r>
              <w:rPr>
                <w:rFonts w:ascii="仿宋" w:hAnsi="仿宋" w:eastAsia="仿宋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个月以上</w:t>
            </w:r>
            <w:r>
              <w:rPr>
                <w:rFonts w:hint="eastAsia" w:ascii="仿宋" w:hAnsi="仿宋" w:eastAsia="仿宋"/>
                <w:sz w:val="32"/>
                <w:szCs w:val="32"/>
                <w:u w:val="single" w:color="FFFFFF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分），最高为</w:t>
            </w:r>
            <w:r>
              <w:rPr>
                <w:rFonts w:ascii="仿宋" w:hAnsi="仿宋" w:eastAsia="仿宋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ind w:firstLine="641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（二）双师素质教师或一体化教师得分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最高为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分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)</w:t>
      </w:r>
    </w:p>
    <w:p>
      <w:pPr>
        <w:widowControl/>
        <w:shd w:val="clear" w:color="auto" w:fill="FFFFFF"/>
        <w:snapToGrid w:val="0"/>
        <w:spacing w:line="560" w:lineRule="exact"/>
        <w:ind w:firstLine="641"/>
        <w:jc w:val="left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列入此范围的人员有两类：第一类是指经教育行政主管部门认定的“双师型”教师。第二类是指经人社部门认定的“一体化”教师。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 w:color="FFFFFF"/>
        </w:rPr>
      </w:pPr>
      <w:r>
        <w:rPr>
          <w:rFonts w:hint="eastAsia" w:ascii="仿宋" w:hAnsi="仿宋" w:eastAsia="仿宋"/>
          <w:sz w:val="32"/>
          <w:szCs w:val="32"/>
          <w:u w:val="single" w:color="FFFFFF"/>
        </w:rPr>
        <w:t>“双师型”教师认定为初级计</w:t>
      </w:r>
      <w:r>
        <w:rPr>
          <w:rFonts w:ascii="仿宋" w:hAnsi="仿宋" w:eastAsia="仿宋"/>
          <w:sz w:val="32"/>
          <w:szCs w:val="32"/>
          <w:u w:val="single" w:color="FFFFFF"/>
        </w:rPr>
        <w:t>1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分；中级计</w:t>
      </w:r>
      <w:r>
        <w:rPr>
          <w:rFonts w:ascii="仿宋" w:hAnsi="仿宋" w:eastAsia="仿宋"/>
          <w:sz w:val="32"/>
          <w:szCs w:val="32"/>
          <w:u w:val="single" w:color="FFFFFF"/>
        </w:rPr>
        <w:t>2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分；高级计</w:t>
      </w:r>
      <w:r>
        <w:rPr>
          <w:rFonts w:ascii="仿宋" w:hAnsi="仿宋" w:eastAsia="仿宋"/>
          <w:sz w:val="32"/>
          <w:szCs w:val="32"/>
          <w:u w:val="single" w:color="FFFFFF"/>
        </w:rPr>
        <w:t>3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分。“一体化”教师认定三级计</w:t>
      </w:r>
      <w:r>
        <w:rPr>
          <w:rFonts w:ascii="仿宋" w:hAnsi="仿宋" w:eastAsia="仿宋"/>
          <w:sz w:val="32"/>
          <w:szCs w:val="32"/>
          <w:u w:val="single" w:color="FFFFFF"/>
        </w:rPr>
        <w:t>1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分；二级计</w:t>
      </w:r>
      <w:r>
        <w:rPr>
          <w:rFonts w:ascii="仿宋" w:hAnsi="仿宋" w:eastAsia="仿宋"/>
          <w:sz w:val="32"/>
          <w:szCs w:val="32"/>
          <w:u w:val="single" w:color="FFFFFF"/>
        </w:rPr>
        <w:t>2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分；一级计</w:t>
      </w:r>
      <w:r>
        <w:rPr>
          <w:rFonts w:ascii="仿宋" w:hAnsi="仿宋" w:eastAsia="仿宋"/>
          <w:sz w:val="32"/>
          <w:szCs w:val="32"/>
          <w:u w:val="single" w:color="FFFFFF"/>
        </w:rPr>
        <w:t>3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分。</w:t>
      </w:r>
    </w:p>
    <w:p>
      <w:pPr>
        <w:widowControl/>
        <w:shd w:val="clear" w:color="auto" w:fill="FFFFFF"/>
        <w:snapToGrid w:val="0"/>
        <w:spacing w:line="560" w:lineRule="exact"/>
        <w:ind w:firstLine="641"/>
        <w:jc w:val="left"/>
        <w:rPr>
          <w:rFonts w:ascii="仿宋" w:hAnsi="仿宋" w:eastAsia="仿宋" w:cs="Arial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kern w:val="0"/>
          <w:sz w:val="32"/>
          <w:szCs w:val="32"/>
        </w:rPr>
        <w:t>（三）学历：</w:t>
      </w:r>
      <w:r>
        <w:rPr>
          <w:rFonts w:hint="eastAsia" w:ascii="仿宋" w:hAnsi="仿宋" w:eastAsia="仿宋"/>
          <w:b/>
          <w:bCs/>
          <w:sz w:val="32"/>
          <w:szCs w:val="32"/>
        </w:rPr>
        <w:t>（满分为</w:t>
      </w:r>
      <w:r>
        <w:rPr>
          <w:rFonts w:ascii="仿宋" w:hAnsi="仿宋" w:eastAsia="仿宋"/>
          <w:b/>
          <w:bCs/>
          <w:sz w:val="32"/>
          <w:szCs w:val="32"/>
        </w:rPr>
        <w:t>10</w:t>
      </w:r>
      <w:r>
        <w:rPr>
          <w:rFonts w:hint="eastAsia" w:ascii="仿宋" w:hAnsi="仿宋" w:eastAsia="仿宋"/>
          <w:b/>
          <w:bCs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firstLine="641"/>
        <w:jc w:val="left"/>
        <w:rPr>
          <w:rFonts w:ascii="仿宋" w:hAnsi="仿宋" w:eastAsia="仿宋" w:cs="Arial"/>
          <w:kern w:val="0"/>
          <w:sz w:val="32"/>
          <w:szCs w:val="32"/>
          <w:u w:val="single" w:color="FFFFFF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以国家教育部或有关行政部门认可的院校颁发的毕业证书为准，专业合格证书不作学历看待。中专计</w:t>
      </w:r>
      <w:r>
        <w:rPr>
          <w:rFonts w:ascii="仿宋" w:hAnsi="仿宋" w:eastAsia="仿宋" w:cs="Arial"/>
          <w:kern w:val="0"/>
          <w:sz w:val="32"/>
          <w:szCs w:val="32"/>
        </w:rPr>
        <w:t>4</w:t>
      </w:r>
      <w:r>
        <w:rPr>
          <w:rFonts w:hint="eastAsia" w:ascii="仿宋" w:hAnsi="仿宋" w:eastAsia="仿宋" w:cs="Arial"/>
          <w:kern w:val="0"/>
          <w:sz w:val="32"/>
          <w:szCs w:val="32"/>
        </w:rPr>
        <w:t>分、大专计</w:t>
      </w:r>
      <w:r>
        <w:rPr>
          <w:rFonts w:ascii="仿宋" w:hAnsi="仿宋" w:eastAsia="仿宋" w:cs="Arial"/>
          <w:kern w:val="0"/>
          <w:sz w:val="32"/>
          <w:szCs w:val="32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分，本科计</w:t>
      </w:r>
      <w:r>
        <w:rPr>
          <w:rFonts w:ascii="仿宋" w:hAnsi="仿宋" w:eastAsia="仿宋" w:cs="Arial"/>
          <w:kern w:val="0"/>
          <w:sz w:val="32"/>
          <w:szCs w:val="32"/>
        </w:rPr>
        <w:t>7</w:t>
      </w:r>
      <w:r>
        <w:rPr>
          <w:rFonts w:hint="eastAsia" w:ascii="仿宋" w:hAnsi="仿宋" w:eastAsia="仿宋" w:cs="Arial"/>
          <w:kern w:val="0"/>
          <w:sz w:val="32"/>
          <w:szCs w:val="32"/>
        </w:rPr>
        <w:t>分，本科且有学士学位计</w:t>
      </w:r>
      <w:r>
        <w:rPr>
          <w:rFonts w:ascii="仿宋" w:hAnsi="仿宋" w:eastAsia="仿宋" w:cs="Arial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分，研究生学历计</w:t>
      </w:r>
      <w:r>
        <w:rPr>
          <w:rFonts w:ascii="仿宋" w:hAnsi="仿宋" w:eastAsia="仿宋" w:cs="Arial"/>
          <w:kern w:val="0"/>
          <w:sz w:val="32"/>
          <w:szCs w:val="32"/>
        </w:rPr>
        <w:t>9</w:t>
      </w:r>
      <w:r>
        <w:rPr>
          <w:rFonts w:hint="eastAsia" w:ascii="仿宋" w:hAnsi="仿宋" w:eastAsia="仿宋" w:cs="Arial"/>
          <w:kern w:val="0"/>
          <w:sz w:val="32"/>
          <w:szCs w:val="32"/>
        </w:rPr>
        <w:t>分，硕士学位计</w:t>
      </w:r>
      <w:r>
        <w:rPr>
          <w:rFonts w:ascii="仿宋" w:hAnsi="仿宋" w:eastAsia="仿宋" w:cs="Arial"/>
          <w:kern w:val="0"/>
          <w:sz w:val="32"/>
          <w:szCs w:val="32"/>
        </w:rPr>
        <w:t>10</w:t>
      </w:r>
      <w:r>
        <w:rPr>
          <w:rFonts w:hint="eastAsia" w:ascii="仿宋" w:hAnsi="仿宋" w:eastAsia="仿宋" w:cs="Arial"/>
          <w:kern w:val="0"/>
          <w:sz w:val="32"/>
          <w:szCs w:val="32"/>
        </w:rPr>
        <w:t>分。</w:t>
      </w:r>
      <w:r>
        <w:rPr>
          <w:rFonts w:hint="eastAsia" w:ascii="仿宋" w:hAnsi="仿宋" w:eastAsia="仿宋"/>
          <w:sz w:val="32"/>
          <w:szCs w:val="32"/>
          <w:u w:val="single" w:color="FFFFFF"/>
        </w:rPr>
        <w:t>以本人最高学历计分，不重复计分。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（四）行政职务分（</w:t>
      </w:r>
      <w:r>
        <w:rPr>
          <w:rFonts w:hint="eastAsia" w:ascii="仿宋" w:hAnsi="仿宋" w:eastAsia="仿宋"/>
          <w:b/>
          <w:bCs/>
          <w:sz w:val="32"/>
          <w:szCs w:val="32"/>
        </w:rPr>
        <w:t>满分为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15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职务分任命时间起计算。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职务以文件为准，此项分为基础分和加分两部分：</w:t>
      </w:r>
    </w:p>
    <w:tbl>
      <w:tblPr>
        <w:tblStyle w:val="7"/>
        <w:tblW w:w="0" w:type="auto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429"/>
        <w:gridCol w:w="1429"/>
        <w:gridCol w:w="1430"/>
        <w:gridCol w:w="142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行政级别</w:t>
            </w:r>
          </w:p>
        </w:tc>
        <w:tc>
          <w:tcPr>
            <w:tcW w:w="1429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正处</w:t>
            </w:r>
          </w:p>
        </w:tc>
        <w:tc>
          <w:tcPr>
            <w:tcW w:w="1429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副处</w:t>
            </w:r>
          </w:p>
        </w:tc>
        <w:tc>
          <w:tcPr>
            <w:tcW w:w="1430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正科</w:t>
            </w:r>
          </w:p>
        </w:tc>
        <w:tc>
          <w:tcPr>
            <w:tcW w:w="1429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副科</w:t>
            </w:r>
          </w:p>
        </w:tc>
        <w:tc>
          <w:tcPr>
            <w:tcW w:w="1430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基础分</w:t>
            </w:r>
          </w:p>
        </w:tc>
        <w:tc>
          <w:tcPr>
            <w:tcW w:w="1429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4.5</w:t>
            </w:r>
          </w:p>
        </w:tc>
        <w:tc>
          <w:tcPr>
            <w:tcW w:w="1430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3.5</w:t>
            </w:r>
          </w:p>
        </w:tc>
        <w:tc>
          <w:tcPr>
            <w:tcW w:w="1430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加分项</w:t>
            </w:r>
          </w:p>
        </w:tc>
        <w:tc>
          <w:tcPr>
            <w:tcW w:w="7147" w:type="dxa"/>
            <w:gridSpan w:val="5"/>
            <w:shd w:val="clear" w:color="auto" w:fill="auto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按年计分，任职满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年加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分，任职时间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1-6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个月按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分计算；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7-12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个月按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分计算，加分最高计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分。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二、业绩分（</w:t>
      </w:r>
      <w:r>
        <w:rPr>
          <w:rFonts w:ascii="仿宋" w:hAnsi="仿宋" w:eastAsia="仿宋" w:cs="宋体"/>
          <w:b/>
          <w:kern w:val="0"/>
          <w:sz w:val="32"/>
          <w:szCs w:val="32"/>
        </w:rPr>
        <w:t>42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（一）个人表彰（最高计</w:t>
      </w:r>
      <w:r>
        <w:rPr>
          <w:rFonts w:ascii="仿宋" w:hAnsi="仿宋" w:eastAsia="仿宋" w:cs="宋体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获县（处）、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市系统级、</w:t>
      </w:r>
      <w:r>
        <w:rPr>
          <w:rFonts w:hint="eastAsia" w:ascii="仿宋" w:hAnsi="仿宋" w:eastAsia="仿宋" w:cs="Arial"/>
          <w:kern w:val="0"/>
          <w:sz w:val="32"/>
          <w:szCs w:val="32"/>
        </w:rPr>
        <w:t>市（厅）、省（部）、国家级表彰的，分别得分如下：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560"/>
        <w:gridCol w:w="170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cs="Arial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eastAsia="仿宋" w:cs="Arial"/>
                <w:kern w:val="0"/>
                <w:sz w:val="32"/>
                <w:szCs w:val="32"/>
              </w:rPr>
              <w:t>县（处）级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市系统级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市（厅）级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省（部）级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注：同级别多次获奖不连续累计，同年同一项目多次获表彰按最高一次计分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（二）年度考核（最高计</w:t>
      </w:r>
      <w:r>
        <w:rPr>
          <w:rFonts w:ascii="仿宋" w:hAnsi="仿宋" w:eastAsia="仿宋" w:cs="宋体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近三年内年度考核结果为优秀者每年计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分。</w:t>
      </w:r>
    </w:p>
    <w:p>
      <w:pPr>
        <w:widowControl/>
        <w:shd w:val="clear" w:color="auto" w:fill="FFFFFF"/>
        <w:snapToGrid w:val="0"/>
        <w:spacing w:line="560" w:lineRule="exact"/>
        <w:ind w:firstLine="641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（三）个人竞赛奖（最高计</w:t>
      </w:r>
      <w:r>
        <w:rPr>
          <w:rFonts w:ascii="仿宋" w:hAnsi="仿宋" w:eastAsia="仿宋" w:cs="宋体"/>
          <w:b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firstLine="64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参加教育行政、人社、卫生、财政等行业主管部门组织的各种业务竞赛（包括各类技能比赛）获奖，计分办法见下表：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110"/>
        <w:gridCol w:w="211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等次</w:t>
            </w:r>
          </w:p>
          <w:p>
            <w:pPr>
              <w:widowControl/>
              <w:snapToGrid w:val="0"/>
              <w:spacing w:line="40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级别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4.5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省（部）级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（厅）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市系统级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县（处）级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0.3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注：同级别不同项目获奖累计得分，同年同项目多次获奖按最高级别计分。</w:t>
      </w:r>
    </w:p>
    <w:p>
      <w:pPr>
        <w:widowControl/>
        <w:shd w:val="clear" w:color="auto" w:fill="FFFFFF"/>
        <w:snapToGrid w:val="0"/>
        <w:spacing w:line="540" w:lineRule="atLeast"/>
        <w:ind w:firstLine="64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（四）指导奖（最高计</w:t>
      </w:r>
      <w:r>
        <w:rPr>
          <w:rFonts w:ascii="仿宋" w:hAnsi="仿宋" w:eastAsia="仿宋" w:cs="宋体"/>
          <w:b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40" w:lineRule="atLeast"/>
        <w:ind w:firstLine="64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指导学生参加上级主管部门组织的技能大赛，获奖学生的指导教师按以下标准计分。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110"/>
        <w:gridCol w:w="211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等次</w:t>
            </w:r>
          </w:p>
          <w:p>
            <w:pPr>
              <w:widowControl/>
              <w:snapToGrid w:val="0"/>
              <w:spacing w:line="40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级别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省（部）级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（厅）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市系统级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县（处）级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1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0.1</w:t>
            </w:r>
          </w:p>
        </w:tc>
      </w:tr>
    </w:tbl>
    <w:p>
      <w:pPr>
        <w:widowControl/>
        <w:shd w:val="clear" w:color="auto" w:fill="FFFFFF"/>
        <w:snapToGrid w:val="0"/>
        <w:spacing w:line="540" w:lineRule="atLeast"/>
        <w:ind w:firstLine="64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指导学生参加行业组织或委托教科研机构、有关教育学会组织的其他大赛，获奖学生的指导教师按以下标准计分。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110"/>
        <w:gridCol w:w="211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等次</w:t>
            </w:r>
          </w:p>
          <w:p>
            <w:pPr>
              <w:widowControl/>
              <w:snapToGrid w:val="0"/>
              <w:spacing w:line="40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级别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2.0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省（部）级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（厅）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1.0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市系统级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1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县（处）级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0.1</w:t>
            </w:r>
          </w:p>
        </w:tc>
      </w:tr>
    </w:tbl>
    <w:p>
      <w:pPr>
        <w:widowControl/>
        <w:shd w:val="clear" w:color="auto" w:fill="FFFFFF"/>
        <w:snapToGrid w:val="0"/>
        <w:spacing w:line="540" w:lineRule="atLeast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以上奖励不同项目累计得分，有多人指导同一项目获奖时，指导老师均分上述分值。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（五）课题研究和发明创新（最高计</w:t>
      </w:r>
      <w:r>
        <w:rPr>
          <w:rFonts w:ascii="仿宋" w:hAnsi="仿宋" w:eastAsia="仿宋" w:cs="宋体"/>
          <w:b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近五年以来，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获得课题立项的负责人（主持人）计分办法如下：国家级计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t>1.5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分；省（部）级计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分；市（厅）级计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t>0.5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分。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按要求结题的负责人（主持人）的计分办法如下：国家级计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分；省（部）级计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分；市（厅）级计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分；县（处）级计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分。立项并结题的累计得分。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获得各级成果一等奖、二等奖、三等奖奖励的负责人（主持人）计分办法如下：国家级分别计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分；省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部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级分别计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分；市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厅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级分别计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分；县（处）级分别计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分。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kern w:val="0"/>
          <w:sz w:val="32"/>
          <w:szCs w:val="32"/>
          <w:u w:val="single" w:color="FFFFFF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获得各级科技进步奖一等奖、二等奖、三等奖的负责人（主持人）计分办法如下：国家级分别计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分；省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部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级分别计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分；市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厅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级分别计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分</w:t>
      </w:r>
      <w:r>
        <w:rPr>
          <w:rFonts w:hint="eastAsia" w:ascii="仿宋" w:hAnsi="仿宋" w:eastAsia="仿宋" w:cs="宋体"/>
          <w:kern w:val="0"/>
          <w:sz w:val="32"/>
          <w:szCs w:val="32"/>
          <w:u w:val="single" w:color="FFFFFF"/>
        </w:rPr>
        <w:t>。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kern w:val="0"/>
          <w:sz w:val="32"/>
          <w:szCs w:val="32"/>
          <w:u w:val="single" w:color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u w:val="single" w:color="FFFFFF"/>
        </w:rPr>
        <w:t>获得发明专利证书的项目计</w:t>
      </w:r>
      <w:r>
        <w:rPr>
          <w:rFonts w:ascii="仿宋" w:hAnsi="仿宋" w:eastAsia="仿宋" w:cs="宋体"/>
          <w:kern w:val="0"/>
          <w:sz w:val="32"/>
          <w:szCs w:val="32"/>
          <w:u w:val="single" w:color="FFFFFF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u w:val="single" w:color="FFFFFF"/>
        </w:rPr>
        <w:t>分；获得实用型专利证书的项目计</w:t>
      </w:r>
      <w:r>
        <w:rPr>
          <w:rFonts w:ascii="仿宋" w:hAnsi="仿宋" w:eastAsia="仿宋" w:cs="宋体"/>
          <w:kern w:val="0"/>
          <w:sz w:val="32"/>
          <w:szCs w:val="32"/>
          <w:u w:val="single" w:color="FFFFFF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u w:val="single" w:color="FFFFFF"/>
        </w:rPr>
        <w:t>分。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以上各项参与人员按排序折算计分，第二、第三、第四及以后参与人员分别按项目分的</w:t>
      </w:r>
      <w:r>
        <w:rPr>
          <w:rFonts w:ascii="仿宋" w:hAnsi="仿宋" w:eastAsia="仿宋" w:cs="宋体"/>
          <w:kern w:val="0"/>
          <w:sz w:val="32"/>
          <w:szCs w:val="32"/>
        </w:rPr>
        <w:t>70%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50%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30%</w:t>
      </w:r>
      <w:r>
        <w:rPr>
          <w:rFonts w:hint="eastAsia" w:ascii="仿宋" w:hAnsi="仿宋" w:eastAsia="仿宋" w:cs="宋体"/>
          <w:kern w:val="0"/>
          <w:sz w:val="32"/>
          <w:szCs w:val="32"/>
        </w:rPr>
        <w:t>计分。国家级项目第十及以后参与人员不计分；省（部）级项目第八及以后参与人员不计分；市（厅）级项目第六及以后参与人员不计分；县（处）级项目第四及以后参与人员不计分。</w:t>
      </w:r>
      <w:r>
        <w:rPr>
          <w:rFonts w:hint="eastAsia" w:ascii="仿宋" w:hAnsi="仿宋" w:eastAsia="仿宋" w:cs="Arial"/>
          <w:kern w:val="0"/>
          <w:sz w:val="32"/>
          <w:szCs w:val="32"/>
        </w:rPr>
        <w:t>同一项目按最高一次计分，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本条目累计最高为</w:t>
      </w:r>
      <w:r>
        <w:rPr>
          <w:rFonts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分。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（六）论文、著作（最高计</w:t>
      </w:r>
      <w:r>
        <w:rPr>
          <w:rFonts w:ascii="仿宋" w:hAnsi="仿宋" w:eastAsia="仿宋" w:cs="宋体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560" w:lineRule="exact"/>
        <w:ind w:left="-48" w:firstLine="641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在各级正式刊物（</w:t>
      </w:r>
      <w:r>
        <w:rPr>
          <w:rFonts w:ascii="仿宋" w:hAnsi="仿宋" w:eastAsia="仿宋" w:cs="宋体"/>
          <w:kern w:val="0"/>
          <w:sz w:val="32"/>
          <w:szCs w:val="32"/>
        </w:rPr>
        <w:t>ISS</w:t>
      </w:r>
      <w:r>
        <w:rPr>
          <w:rFonts w:ascii="仿宋" w:hAnsi="仿宋" w:eastAsia="仿宋" w:cs="宋体"/>
          <w:spacing w:val="5"/>
          <w:kern w:val="0"/>
          <w:sz w:val="32"/>
          <w:szCs w:val="32"/>
        </w:rPr>
        <w:t>N</w:t>
      </w:r>
      <w:r>
        <w:rPr>
          <w:rFonts w:hint="eastAsia" w:ascii="仿宋" w:hAnsi="仿宋" w:eastAsia="仿宋" w:cs="宋体"/>
          <w:spacing w:val="5"/>
          <w:kern w:val="0"/>
          <w:sz w:val="32"/>
          <w:szCs w:val="32"/>
        </w:rPr>
        <w:t>或</w:t>
      </w:r>
      <w:r>
        <w:rPr>
          <w:rFonts w:ascii="仿宋" w:hAnsi="仿宋" w:eastAsia="仿宋" w:cs="宋体"/>
          <w:spacing w:val="5"/>
          <w:kern w:val="0"/>
          <w:sz w:val="32"/>
          <w:szCs w:val="32"/>
        </w:rPr>
        <w:t>CN</w:t>
      </w:r>
      <w:r>
        <w:rPr>
          <w:rFonts w:hint="eastAsia" w:ascii="仿宋" w:hAnsi="仿宋" w:eastAsia="仿宋" w:cs="宋体"/>
          <w:spacing w:val="5"/>
          <w:kern w:val="0"/>
          <w:sz w:val="32"/>
          <w:szCs w:val="32"/>
        </w:rPr>
        <w:t>刊号）</w:t>
      </w:r>
      <w:r>
        <w:rPr>
          <w:rFonts w:hint="eastAsia" w:ascii="仿宋" w:hAnsi="仿宋" w:eastAsia="仿宋" w:cs="Arial"/>
          <w:kern w:val="0"/>
          <w:sz w:val="32"/>
          <w:szCs w:val="32"/>
        </w:rPr>
        <w:t>上发表与本专业或相近专业论文（要求独著或第一作者），取最高一次计分。核心期刊</w:t>
      </w:r>
      <w:r>
        <w:rPr>
          <w:rFonts w:ascii="仿宋" w:hAnsi="仿宋" w:eastAsia="仿宋" w:cs="Arial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</w:rPr>
        <w:t>分（以</w:t>
      </w:r>
      <w:r>
        <w:rPr>
          <w:rFonts w:hint="eastAsia" w:ascii="仿宋_GB2312" w:eastAsia="仿宋_GB2312"/>
          <w:sz w:val="30"/>
          <w:szCs w:val="30"/>
        </w:rPr>
        <w:t>北京大学图书馆编写的期刊目录为准，增刊除外）</w:t>
      </w:r>
      <w:r>
        <w:rPr>
          <w:rFonts w:hint="eastAsia" w:ascii="仿宋" w:hAnsi="仿宋" w:eastAsia="仿宋" w:cs="Arial"/>
          <w:kern w:val="0"/>
          <w:sz w:val="32"/>
          <w:szCs w:val="32"/>
        </w:rPr>
        <w:t>、其他期刊</w:t>
      </w:r>
      <w:r>
        <w:rPr>
          <w:rFonts w:ascii="仿宋" w:hAnsi="仿宋" w:eastAsia="仿宋" w:cs="Arial"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kern w:val="0"/>
          <w:sz w:val="32"/>
          <w:szCs w:val="32"/>
        </w:rPr>
        <w:t>分。累计最高为</w:t>
      </w:r>
      <w:r>
        <w:rPr>
          <w:rFonts w:ascii="仿宋" w:hAnsi="仿宋" w:eastAsia="仿宋" w:cs="Arial"/>
          <w:kern w:val="0"/>
          <w:sz w:val="32"/>
          <w:szCs w:val="32"/>
        </w:rPr>
        <w:t>3</w:t>
      </w:r>
      <w:r>
        <w:rPr>
          <w:rFonts w:hint="eastAsia" w:ascii="仿宋" w:hAnsi="仿宋" w:eastAsia="仿宋" w:cs="Arial"/>
          <w:kern w:val="0"/>
          <w:sz w:val="32"/>
          <w:szCs w:val="32"/>
        </w:rPr>
        <w:t>分。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ascii="仿宋" w:hAnsi="仿宋" w:eastAsia="仿宋" w:cs="Arial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Arial"/>
          <w:kern w:val="0"/>
          <w:sz w:val="32"/>
          <w:szCs w:val="32"/>
        </w:rPr>
        <w:t>获奖情况：论文获市级奖项的计</w:t>
      </w:r>
      <w:r>
        <w:rPr>
          <w:rFonts w:ascii="仿宋" w:hAnsi="仿宋" w:eastAsia="仿宋" w:cs="Arial"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kern w:val="0"/>
          <w:sz w:val="32"/>
          <w:szCs w:val="32"/>
        </w:rPr>
        <w:t>分、自治区级计</w:t>
      </w:r>
      <w:r>
        <w:rPr>
          <w:rFonts w:ascii="仿宋" w:hAnsi="仿宋" w:eastAsia="仿宋" w:cs="Arial"/>
          <w:kern w:val="0"/>
          <w:sz w:val="32"/>
          <w:szCs w:val="32"/>
        </w:rPr>
        <w:t>1.5</w:t>
      </w:r>
      <w:r>
        <w:rPr>
          <w:rFonts w:hint="eastAsia" w:ascii="仿宋" w:hAnsi="仿宋" w:eastAsia="仿宋" w:cs="Arial"/>
          <w:kern w:val="0"/>
          <w:sz w:val="32"/>
          <w:szCs w:val="32"/>
        </w:rPr>
        <w:t>分、国家级计</w:t>
      </w:r>
      <w:r>
        <w:rPr>
          <w:rFonts w:ascii="仿宋" w:hAnsi="仿宋" w:eastAsia="仿宋" w:cs="Arial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</w:rPr>
        <w:t>分，累计最高为</w:t>
      </w:r>
      <w:r>
        <w:rPr>
          <w:rFonts w:ascii="仿宋" w:hAnsi="仿宋" w:eastAsia="仿宋" w:cs="Arial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</w:rPr>
        <w:t>分。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注：同一篇论文发表、获奖不累计得分。</w:t>
      </w:r>
    </w:p>
    <w:p>
      <w:pPr>
        <w:widowControl/>
        <w:shd w:val="clear" w:color="auto" w:fill="FFFFFF"/>
        <w:snapToGrid w:val="0"/>
        <w:spacing w:line="360" w:lineRule="auto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（七）教材（最高计</w:t>
      </w:r>
      <w:r>
        <w:rPr>
          <w:rFonts w:ascii="仿宋" w:hAnsi="仿宋" w:eastAsia="仿宋" w:cs="宋体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分）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参与编</w:t>
      </w:r>
      <w:r>
        <w:rPr>
          <w:rFonts w:hint="eastAsia" w:ascii="仿宋" w:hAnsi="仿宋" w:eastAsia="仿宋" w:cs="宋体"/>
          <w:spacing w:val="5"/>
          <w:kern w:val="0"/>
          <w:sz w:val="32"/>
          <w:szCs w:val="32"/>
        </w:rPr>
        <w:t>写正式出版教材，任主编并亲自撰稿者，属国家级规划教材的计</w:t>
      </w:r>
      <w:r>
        <w:rPr>
          <w:rFonts w:ascii="仿宋" w:hAnsi="仿宋" w:eastAsia="仿宋" w:cs="宋体"/>
          <w:spacing w:val="5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spacing w:val="5"/>
          <w:kern w:val="0"/>
          <w:sz w:val="32"/>
          <w:szCs w:val="32"/>
        </w:rPr>
        <w:t>分，省级以上正规出版社出版的教材计</w:t>
      </w:r>
      <w:r>
        <w:rPr>
          <w:rFonts w:ascii="仿宋" w:hAnsi="仿宋" w:eastAsia="仿宋" w:cs="宋体"/>
          <w:spacing w:val="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spacing w:val="5"/>
          <w:kern w:val="0"/>
          <w:sz w:val="32"/>
          <w:szCs w:val="32"/>
        </w:rPr>
        <w:t>分；由学校批准并推广使用的校本教材计</w:t>
      </w:r>
      <w:r>
        <w:rPr>
          <w:rFonts w:ascii="仿宋" w:hAnsi="仿宋" w:eastAsia="仿宋" w:cs="宋体"/>
          <w:spacing w:val="5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spacing w:val="5"/>
          <w:kern w:val="0"/>
          <w:sz w:val="32"/>
          <w:szCs w:val="32"/>
        </w:rPr>
        <w:t>分。</w:t>
      </w:r>
      <w:r>
        <w:rPr>
          <w:rFonts w:hint="eastAsia" w:ascii="仿宋" w:hAnsi="仿宋" w:eastAsia="仿宋"/>
          <w:sz w:val="32"/>
          <w:szCs w:val="32"/>
        </w:rPr>
        <w:t>教材中的第一副主编按</w:t>
      </w:r>
      <w:r>
        <w:rPr>
          <w:rFonts w:ascii="仿宋" w:hAnsi="仿宋" w:eastAsia="仿宋"/>
          <w:sz w:val="32"/>
          <w:szCs w:val="32"/>
        </w:rPr>
        <w:t>70%</w:t>
      </w:r>
      <w:r>
        <w:rPr>
          <w:rFonts w:hint="eastAsia" w:ascii="仿宋" w:hAnsi="仿宋" w:eastAsia="仿宋"/>
          <w:sz w:val="32"/>
          <w:szCs w:val="32"/>
        </w:rPr>
        <w:t>计分；第二副主编按</w:t>
      </w:r>
      <w:r>
        <w:rPr>
          <w:rFonts w:ascii="仿宋" w:hAnsi="仿宋" w:eastAsia="仿宋"/>
          <w:sz w:val="32"/>
          <w:szCs w:val="32"/>
        </w:rPr>
        <w:t>50%</w:t>
      </w:r>
      <w:r>
        <w:rPr>
          <w:rFonts w:hint="eastAsia" w:ascii="仿宋" w:hAnsi="仿宋" w:eastAsia="仿宋"/>
          <w:sz w:val="32"/>
          <w:szCs w:val="32"/>
        </w:rPr>
        <w:t>计分，参编人员按</w:t>
      </w:r>
      <w:r>
        <w:rPr>
          <w:rFonts w:ascii="仿宋" w:hAnsi="仿宋" w:eastAsia="仿宋"/>
          <w:sz w:val="32"/>
          <w:szCs w:val="32"/>
        </w:rPr>
        <w:t>30%</w:t>
      </w:r>
      <w:r>
        <w:rPr>
          <w:rFonts w:hint="eastAsia" w:ascii="仿宋" w:hAnsi="仿宋" w:eastAsia="仿宋"/>
          <w:sz w:val="32"/>
          <w:szCs w:val="32"/>
        </w:rPr>
        <w:t>计分，</w:t>
      </w:r>
      <w:r>
        <w:rPr>
          <w:rFonts w:hint="eastAsia" w:ascii="仿宋" w:hAnsi="仿宋" w:eastAsia="仿宋" w:cs="宋体"/>
          <w:spacing w:val="5"/>
          <w:kern w:val="0"/>
          <w:sz w:val="32"/>
          <w:szCs w:val="32"/>
        </w:rPr>
        <w:t>累计最高为</w:t>
      </w:r>
      <w:r>
        <w:rPr>
          <w:rFonts w:ascii="仿宋" w:hAnsi="仿宋" w:eastAsia="仿宋" w:cs="宋体"/>
          <w:spacing w:val="5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spacing w:val="5"/>
          <w:kern w:val="0"/>
          <w:sz w:val="32"/>
          <w:szCs w:val="32"/>
        </w:rPr>
        <w:t>分。</w:t>
      </w:r>
    </w:p>
    <w:p>
      <w:pPr>
        <w:widowControl/>
        <w:shd w:val="clear" w:color="auto" w:fill="FFFFFF"/>
        <w:snapToGrid w:val="0"/>
        <w:spacing w:before="100" w:beforeAutospacing="1" w:line="360" w:lineRule="auto"/>
        <w:ind w:firstLine="643" w:firstLineChars="200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三、评定办法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专业技术岗位评分由资历分、业绩分两部分的分值组成。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计算公式为：资历分＋业绩分＝总分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把所有申报者的得分按序排列，根据优选法，按岗位职数确定聘用对象。</w:t>
      </w:r>
    </w:p>
    <w:p>
      <w:pPr>
        <w:widowControl/>
        <w:shd w:val="clear" w:color="auto" w:fill="FFFFFF"/>
        <w:snapToGrid w:val="0"/>
        <w:spacing w:line="360" w:lineRule="auto"/>
        <w:ind w:firstLine="643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四、相关说明</w:t>
      </w:r>
    </w:p>
    <w:p>
      <w:pPr>
        <w:widowControl/>
        <w:shd w:val="clear" w:color="auto" w:fill="FFFFFF"/>
        <w:snapToGrid w:val="0"/>
        <w:spacing w:line="360" w:lineRule="auto"/>
        <w:ind w:firstLine="566" w:firstLineChars="177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（一）招聘中出现总分相同时，按以下优先顺序操作</w:t>
      </w:r>
    </w:p>
    <w:p>
      <w:pPr>
        <w:widowControl/>
        <w:shd w:val="clear" w:color="auto" w:fill="FFFFFF"/>
        <w:snapToGrid w:val="0"/>
        <w:spacing w:line="360" w:lineRule="auto"/>
        <w:ind w:firstLine="800" w:firstLineChars="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宋体"/>
          <w:kern w:val="0"/>
          <w:sz w:val="32"/>
          <w:szCs w:val="32"/>
        </w:rPr>
        <w:t>行政级别较高者优先。</w:t>
      </w:r>
    </w:p>
    <w:p>
      <w:pPr>
        <w:widowControl/>
        <w:shd w:val="clear" w:color="auto" w:fill="FFFFFF"/>
        <w:snapToGrid w:val="0"/>
        <w:spacing w:line="360" w:lineRule="auto"/>
        <w:ind w:firstLine="800" w:firstLineChars="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 w:color="FFFFFF"/>
        </w:rPr>
        <w:t>任职时间较长者优先。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应聘人员对评分结果如有异议，在评分结果公布即日起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天之内，向学院纪检监察部门提出复查书面申请，由纪检监察部门对评分结果进行核查。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（三）特殊情况由学院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工作领导小组集体研究决定。</w:t>
      </w:r>
    </w:p>
    <w:sectPr>
      <w:footerReference r:id="rId3" w:type="default"/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Dc2N2JlOWIyNmU2MjY5ZDgwMjVjYjU0M2JlMzYifQ=="/>
  </w:docVars>
  <w:rsids>
    <w:rsidRoot w:val="00547869"/>
    <w:rsid w:val="001B4A78"/>
    <w:rsid w:val="00281768"/>
    <w:rsid w:val="00362D5A"/>
    <w:rsid w:val="00366AE9"/>
    <w:rsid w:val="00405488"/>
    <w:rsid w:val="00547869"/>
    <w:rsid w:val="00787EA5"/>
    <w:rsid w:val="008572C0"/>
    <w:rsid w:val="00957BA3"/>
    <w:rsid w:val="00966687"/>
    <w:rsid w:val="00987447"/>
    <w:rsid w:val="00A06763"/>
    <w:rsid w:val="00A16D95"/>
    <w:rsid w:val="00BA4A75"/>
    <w:rsid w:val="00EE5D54"/>
    <w:rsid w:val="00F67018"/>
    <w:rsid w:val="0E277F3E"/>
    <w:rsid w:val="1B0E4ACE"/>
    <w:rsid w:val="36144851"/>
    <w:rsid w:val="3EDC52BD"/>
    <w:rsid w:val="3FF17C4C"/>
    <w:rsid w:val="4BDC2EC7"/>
    <w:rsid w:val="4EC2201C"/>
    <w:rsid w:val="6C6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6</Pages>
  <Words>2120</Words>
  <Characters>2236</Characters>
  <Lines>17</Lines>
  <Paragraphs>4</Paragraphs>
  <TotalTime>4</TotalTime>
  <ScaleCrop>false</ScaleCrop>
  <LinksUpToDate>false</LinksUpToDate>
  <CharactersWithSpaces>2248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2020-12-08T07:25:00Z</dcterms:created>
  <dc:creator>Administrator</dc:creator>
  <cp:lastModifiedBy>Administrator</cp:lastModifiedBy>
  <cp:lastPrinted>2022-12-27T02:15:06Z</cp:lastPrinted>
  <dcterms:modified xsi:type="dcterms:W3CDTF">2022-12-27T02:20:27Z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15D8B5E05350450BBD7F83F3C1A38CD8</vt:lpwstr>
  </property>
</Properties>
</file>